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06F5" w14:textId="77777777" w:rsidR="009A54F1" w:rsidRPr="00126723" w:rsidRDefault="009A54F1" w:rsidP="00B70A01">
      <w:pPr>
        <w:pStyle w:val="Estilo"/>
        <w:ind w:left="5103"/>
        <w:rPr>
          <w:rFonts w:ascii="Arial Nova Light" w:hAnsi="Arial Nova Light"/>
          <w:b/>
          <w:bCs/>
          <w:szCs w:val="24"/>
        </w:rPr>
      </w:pPr>
      <w:r w:rsidRPr="00126723">
        <w:rPr>
          <w:rFonts w:ascii="Arial Nova Light" w:hAnsi="Arial Nova Light"/>
          <w:b/>
          <w:bCs/>
          <w:szCs w:val="24"/>
        </w:rPr>
        <w:t xml:space="preserve">JUICIO PARA LA PROTECCIÓN DE LOS DERECHOS POLÍTICO-ELECTORALES DEL CIUDADANO. </w:t>
      </w:r>
    </w:p>
    <w:p w14:paraId="5AEEB207" w14:textId="77777777" w:rsidR="009A54F1" w:rsidRPr="00126723" w:rsidRDefault="009A54F1" w:rsidP="00B70A01">
      <w:pPr>
        <w:pStyle w:val="Estilo"/>
        <w:ind w:left="5103"/>
        <w:rPr>
          <w:rFonts w:ascii="Arial Nova Light" w:hAnsi="Arial Nova Light"/>
          <w:szCs w:val="24"/>
        </w:rPr>
      </w:pPr>
    </w:p>
    <w:p w14:paraId="1230AC42" w14:textId="2A613E71" w:rsidR="009A54F1" w:rsidRPr="00126723" w:rsidRDefault="009A54F1" w:rsidP="00B70A01">
      <w:pPr>
        <w:pStyle w:val="Estilo"/>
        <w:ind w:left="5103"/>
        <w:rPr>
          <w:rFonts w:ascii="Arial Nova Light" w:hAnsi="Arial Nova Light"/>
          <w:szCs w:val="24"/>
        </w:rPr>
      </w:pPr>
      <w:r w:rsidRPr="00126723">
        <w:rPr>
          <w:rFonts w:ascii="Arial Nova Light" w:hAnsi="Arial Nova Light"/>
          <w:b/>
          <w:bCs/>
          <w:szCs w:val="24"/>
        </w:rPr>
        <w:t>EXPEDIENTE</w:t>
      </w:r>
      <w:r w:rsidRPr="00126723">
        <w:rPr>
          <w:rFonts w:ascii="Arial Nova Light" w:hAnsi="Arial Nova Light"/>
          <w:szCs w:val="24"/>
        </w:rPr>
        <w:t>: TEEA-JDC-</w:t>
      </w:r>
      <w:r w:rsidR="00197CB0" w:rsidRPr="00126723">
        <w:rPr>
          <w:rFonts w:ascii="Arial Nova Light" w:hAnsi="Arial Nova Light"/>
          <w:szCs w:val="24"/>
        </w:rPr>
        <w:t>105</w:t>
      </w:r>
      <w:r w:rsidRPr="00126723">
        <w:rPr>
          <w:rFonts w:ascii="Arial Nova Light" w:hAnsi="Arial Nova Light"/>
          <w:szCs w:val="24"/>
        </w:rPr>
        <w:t>/2021</w:t>
      </w:r>
      <w:r w:rsidR="008718B5" w:rsidRPr="00126723">
        <w:rPr>
          <w:rFonts w:ascii="Arial Nova Light" w:hAnsi="Arial Nova Light"/>
          <w:szCs w:val="24"/>
        </w:rPr>
        <w:t xml:space="preserve"> y acumulado</w:t>
      </w:r>
      <w:r w:rsidRPr="00126723">
        <w:rPr>
          <w:rFonts w:ascii="Arial Nova Light" w:hAnsi="Arial Nova Light"/>
          <w:szCs w:val="24"/>
        </w:rPr>
        <w:t xml:space="preserve">. </w:t>
      </w:r>
    </w:p>
    <w:p w14:paraId="704D2129" w14:textId="77777777" w:rsidR="009A54F1" w:rsidRPr="00126723" w:rsidRDefault="009A54F1" w:rsidP="00B70A01">
      <w:pPr>
        <w:pStyle w:val="Estilo"/>
        <w:ind w:left="5103"/>
        <w:rPr>
          <w:rFonts w:ascii="Arial Nova Light" w:hAnsi="Arial Nova Light"/>
          <w:szCs w:val="24"/>
        </w:rPr>
      </w:pPr>
    </w:p>
    <w:p w14:paraId="59FE2325" w14:textId="7B892AC7" w:rsidR="009A54F1" w:rsidRPr="00126723" w:rsidRDefault="009A54F1" w:rsidP="00B70A01">
      <w:pPr>
        <w:pStyle w:val="Estilo"/>
        <w:ind w:left="5103"/>
        <w:rPr>
          <w:rFonts w:ascii="Arial Nova Light" w:hAnsi="Arial Nova Light"/>
          <w:szCs w:val="24"/>
        </w:rPr>
      </w:pPr>
      <w:r w:rsidRPr="00126723">
        <w:rPr>
          <w:rFonts w:ascii="Arial Nova Light" w:hAnsi="Arial Nova Light"/>
          <w:b/>
          <w:bCs/>
          <w:szCs w:val="24"/>
        </w:rPr>
        <w:t>PROMOVENTE</w:t>
      </w:r>
      <w:r w:rsidRPr="00126723">
        <w:rPr>
          <w:rFonts w:ascii="Arial Nova Light" w:hAnsi="Arial Nova Light"/>
          <w:szCs w:val="24"/>
        </w:rPr>
        <w:t xml:space="preserve">: </w:t>
      </w:r>
      <w:r w:rsidR="00336881" w:rsidRPr="00126723">
        <w:rPr>
          <w:rFonts w:ascii="Arial Nova Light" w:hAnsi="Arial Nova Light"/>
          <w:szCs w:val="24"/>
        </w:rPr>
        <w:t xml:space="preserve">OCTAVIO MORALES LÓPEZ Y OTROS. </w:t>
      </w:r>
    </w:p>
    <w:p w14:paraId="05972906" w14:textId="77777777" w:rsidR="009A54F1" w:rsidRPr="00126723" w:rsidRDefault="009A54F1" w:rsidP="00B70A01">
      <w:pPr>
        <w:pStyle w:val="Estilo"/>
        <w:ind w:left="5103"/>
        <w:rPr>
          <w:rFonts w:ascii="Arial Nova Light" w:hAnsi="Arial Nova Light"/>
          <w:szCs w:val="24"/>
        </w:rPr>
      </w:pPr>
    </w:p>
    <w:p w14:paraId="130D71D9" w14:textId="0285CFE3" w:rsidR="009A54F1" w:rsidRPr="00126723" w:rsidRDefault="009A54F1" w:rsidP="00B70A01">
      <w:pPr>
        <w:pStyle w:val="Estilo"/>
        <w:ind w:left="5103"/>
        <w:rPr>
          <w:rFonts w:ascii="Arial Nova Light" w:hAnsi="Arial Nova Light"/>
          <w:szCs w:val="24"/>
        </w:rPr>
      </w:pPr>
      <w:r w:rsidRPr="00126723">
        <w:rPr>
          <w:rFonts w:ascii="Arial Nova Light" w:hAnsi="Arial Nova Light"/>
          <w:b/>
          <w:bCs/>
          <w:szCs w:val="24"/>
        </w:rPr>
        <w:t>AUTORIDAD RESPONSABLE</w:t>
      </w:r>
      <w:r w:rsidRPr="00126723">
        <w:rPr>
          <w:rFonts w:ascii="Arial Nova Light" w:hAnsi="Arial Nova Light"/>
          <w:szCs w:val="24"/>
        </w:rPr>
        <w:t xml:space="preserve">: </w:t>
      </w:r>
      <w:r w:rsidR="007C6360" w:rsidRPr="00126723">
        <w:rPr>
          <w:rFonts w:ascii="Arial Nova Light" w:hAnsi="Arial Nova Light"/>
          <w:bCs/>
          <w:szCs w:val="24"/>
        </w:rPr>
        <w:t xml:space="preserve">COMISIÓN NACIONAL DE HONESTIDAD Y JUSTICIA. </w:t>
      </w:r>
    </w:p>
    <w:p w14:paraId="05D53AD2" w14:textId="77777777" w:rsidR="009A54F1" w:rsidRPr="00126723" w:rsidRDefault="009A54F1" w:rsidP="00B70A01">
      <w:pPr>
        <w:pStyle w:val="Estilo"/>
        <w:ind w:left="5103"/>
        <w:rPr>
          <w:rFonts w:ascii="Arial Nova Light" w:hAnsi="Arial Nova Light"/>
          <w:szCs w:val="24"/>
        </w:rPr>
      </w:pPr>
    </w:p>
    <w:p w14:paraId="603E4B7A" w14:textId="166D45E7" w:rsidR="009A54F1" w:rsidRPr="00126723" w:rsidRDefault="009A54F1" w:rsidP="00B70A01">
      <w:pPr>
        <w:pStyle w:val="Estilo"/>
        <w:ind w:left="5103"/>
        <w:rPr>
          <w:rFonts w:ascii="Arial Nova Light" w:hAnsi="Arial Nova Light"/>
          <w:bCs/>
          <w:szCs w:val="24"/>
        </w:rPr>
      </w:pPr>
      <w:r w:rsidRPr="00126723">
        <w:rPr>
          <w:rFonts w:ascii="Arial Nova Light" w:hAnsi="Arial Nova Light"/>
          <w:b/>
          <w:bCs/>
          <w:szCs w:val="24"/>
        </w:rPr>
        <w:t>MAGISTRADA PONENTE:</w:t>
      </w:r>
      <w:r w:rsidRPr="00126723">
        <w:rPr>
          <w:rFonts w:ascii="Arial Nova Light" w:hAnsi="Arial Nova Light"/>
          <w:szCs w:val="24"/>
        </w:rPr>
        <w:t xml:space="preserve"> </w:t>
      </w:r>
      <w:r w:rsidRPr="00126723">
        <w:rPr>
          <w:rFonts w:ascii="Arial Nova Light" w:hAnsi="Arial Nova Light"/>
          <w:bCs/>
          <w:szCs w:val="24"/>
        </w:rPr>
        <w:t>CLAUDIA ELOISA DÍAZ DE LEÓN GONZÁLEZ</w:t>
      </w:r>
      <w:r w:rsidR="00EF68F1" w:rsidRPr="00126723">
        <w:rPr>
          <w:rFonts w:ascii="Arial Nova Light" w:hAnsi="Arial Nova Light"/>
          <w:bCs/>
          <w:szCs w:val="24"/>
        </w:rPr>
        <w:t>.</w:t>
      </w:r>
    </w:p>
    <w:p w14:paraId="791F77D0" w14:textId="77777777" w:rsidR="00EF68F1" w:rsidRPr="00126723" w:rsidRDefault="00EF68F1" w:rsidP="00B70A01">
      <w:pPr>
        <w:pStyle w:val="Estilo"/>
        <w:ind w:left="5103"/>
        <w:rPr>
          <w:rFonts w:ascii="Arial Nova Light" w:hAnsi="Arial Nova Light"/>
          <w:bCs/>
          <w:szCs w:val="24"/>
        </w:rPr>
      </w:pPr>
    </w:p>
    <w:p w14:paraId="4B4239F4" w14:textId="7D9CB751" w:rsidR="008718B5" w:rsidRPr="00126723" w:rsidRDefault="008718B5" w:rsidP="00B70A01">
      <w:pPr>
        <w:pStyle w:val="Estilo"/>
        <w:ind w:left="5103"/>
        <w:rPr>
          <w:rFonts w:ascii="Arial Nova Light" w:hAnsi="Arial Nova Light"/>
          <w:szCs w:val="24"/>
        </w:rPr>
      </w:pPr>
      <w:r w:rsidRPr="00126723">
        <w:rPr>
          <w:rFonts w:ascii="Arial Nova Light" w:hAnsi="Arial Nova Light"/>
          <w:b/>
          <w:bCs/>
          <w:szCs w:val="24"/>
        </w:rPr>
        <w:t>SECRETARIO DE ESTUDIO:</w:t>
      </w:r>
      <w:r w:rsidRPr="00126723">
        <w:rPr>
          <w:rFonts w:ascii="Arial Nova Light" w:hAnsi="Arial Nova Light"/>
          <w:szCs w:val="24"/>
        </w:rPr>
        <w:t xml:space="preserve"> NÉSTOR ENRIQUE RIVERA LÓPEZ</w:t>
      </w:r>
      <w:r w:rsidR="00EF68F1" w:rsidRPr="00126723">
        <w:rPr>
          <w:rFonts w:ascii="Arial Nova Light" w:hAnsi="Arial Nova Light"/>
          <w:szCs w:val="24"/>
        </w:rPr>
        <w:t>.</w:t>
      </w:r>
    </w:p>
    <w:p w14:paraId="003193D8" w14:textId="77777777" w:rsidR="00EF68F1" w:rsidRPr="00126723" w:rsidRDefault="00EF68F1" w:rsidP="009E717D">
      <w:pPr>
        <w:pStyle w:val="Estilo"/>
        <w:ind w:left="4536"/>
        <w:rPr>
          <w:rFonts w:ascii="Arial Nova Light" w:hAnsi="Arial Nova Light"/>
          <w:szCs w:val="24"/>
        </w:rPr>
      </w:pPr>
    </w:p>
    <w:p w14:paraId="17DE71C2" w14:textId="7727CD31" w:rsidR="009A54F1" w:rsidRPr="00126723" w:rsidRDefault="009A54F1" w:rsidP="009A54F1">
      <w:pPr>
        <w:pStyle w:val="Estilo"/>
        <w:spacing w:line="360" w:lineRule="auto"/>
        <w:jc w:val="right"/>
        <w:rPr>
          <w:rFonts w:ascii="Arial Nova Light" w:hAnsi="Arial Nova Light"/>
          <w:szCs w:val="24"/>
        </w:rPr>
      </w:pPr>
      <w:bookmarkStart w:id="0" w:name="_Hlk499556789"/>
      <w:r w:rsidRPr="00126723">
        <w:rPr>
          <w:rFonts w:ascii="Arial Nova Light" w:hAnsi="Arial Nova Light"/>
          <w:szCs w:val="24"/>
        </w:rPr>
        <w:t xml:space="preserve">Aguascalientes, Aguascalientes, a </w:t>
      </w:r>
      <w:r w:rsidR="007C6360" w:rsidRPr="00826982">
        <w:rPr>
          <w:rFonts w:ascii="Arial Nova Light" w:hAnsi="Arial Nova Light"/>
          <w:szCs w:val="24"/>
        </w:rPr>
        <w:t>veintitrés</w:t>
      </w:r>
      <w:r w:rsidRPr="00126723">
        <w:rPr>
          <w:rFonts w:ascii="Arial Nova Light" w:hAnsi="Arial Nova Light"/>
          <w:szCs w:val="24"/>
        </w:rPr>
        <w:t xml:space="preserve"> de </w:t>
      </w:r>
      <w:r w:rsidR="007C6360" w:rsidRPr="00126723">
        <w:rPr>
          <w:rFonts w:ascii="Arial Nova Light" w:hAnsi="Arial Nova Light"/>
          <w:szCs w:val="24"/>
        </w:rPr>
        <w:t>abril</w:t>
      </w:r>
      <w:r w:rsidRPr="00126723">
        <w:rPr>
          <w:rFonts w:ascii="Arial Nova Light" w:hAnsi="Arial Nova Light"/>
          <w:szCs w:val="24"/>
        </w:rPr>
        <w:t xml:space="preserve"> de dos mil veintiuno.</w:t>
      </w:r>
    </w:p>
    <w:p w14:paraId="4BBEE589" w14:textId="77777777" w:rsidR="009A54F1" w:rsidRPr="00126723" w:rsidRDefault="009A54F1" w:rsidP="009A54F1">
      <w:pPr>
        <w:pStyle w:val="Estilo"/>
        <w:spacing w:line="360" w:lineRule="auto"/>
        <w:rPr>
          <w:rFonts w:ascii="Arial Nova Light" w:hAnsi="Arial Nova Light"/>
          <w:szCs w:val="24"/>
        </w:rPr>
      </w:pPr>
    </w:p>
    <w:p w14:paraId="75788C3D" w14:textId="32C96D9B" w:rsidR="009A54F1" w:rsidRPr="00126723" w:rsidRDefault="009A54F1" w:rsidP="009A54F1">
      <w:pPr>
        <w:pStyle w:val="Estilo"/>
        <w:spacing w:line="360" w:lineRule="auto"/>
        <w:rPr>
          <w:rFonts w:ascii="Arial Nova Light" w:hAnsi="Arial Nova Light"/>
          <w:bCs/>
          <w:szCs w:val="24"/>
        </w:rPr>
      </w:pPr>
      <w:r w:rsidRPr="00126723">
        <w:rPr>
          <w:rFonts w:ascii="Arial Nova Light" w:hAnsi="Arial Nova Light"/>
          <w:b/>
          <w:szCs w:val="24"/>
        </w:rPr>
        <w:t xml:space="preserve">Sentencia definitiva </w:t>
      </w:r>
      <w:r w:rsidRPr="00126723">
        <w:rPr>
          <w:rFonts w:ascii="Arial Nova Light" w:hAnsi="Arial Nova Light"/>
          <w:bCs/>
          <w:szCs w:val="24"/>
        </w:rPr>
        <w:t>en la que</w:t>
      </w:r>
      <w:r w:rsidR="007C6360" w:rsidRPr="00126723">
        <w:rPr>
          <w:rFonts w:ascii="Arial Nova Light" w:hAnsi="Arial Nova Light"/>
          <w:bCs/>
          <w:szCs w:val="24"/>
        </w:rPr>
        <w:t xml:space="preserve"> se confirma</w:t>
      </w:r>
      <w:r w:rsidR="005E7A64">
        <w:rPr>
          <w:rFonts w:ascii="Arial Nova Light" w:hAnsi="Arial Nova Light"/>
          <w:bCs/>
          <w:szCs w:val="24"/>
        </w:rPr>
        <w:t xml:space="preserve"> por razones distintas</w:t>
      </w:r>
      <w:r w:rsidR="007C6360" w:rsidRPr="00126723">
        <w:rPr>
          <w:rFonts w:ascii="Arial Nova Light" w:hAnsi="Arial Nova Light"/>
          <w:bCs/>
          <w:szCs w:val="24"/>
        </w:rPr>
        <w:t xml:space="preserve"> </w:t>
      </w:r>
      <w:r w:rsidR="00F61A62" w:rsidRPr="00126723">
        <w:rPr>
          <w:rFonts w:ascii="Arial Nova Light" w:hAnsi="Arial Nova Light"/>
          <w:bCs/>
          <w:szCs w:val="24"/>
        </w:rPr>
        <w:t xml:space="preserve">el </w:t>
      </w:r>
      <w:r w:rsidR="00F61A62" w:rsidRPr="008F1DE1">
        <w:rPr>
          <w:rFonts w:ascii="Arial Nova Light" w:hAnsi="Arial Nova Light"/>
          <w:b/>
          <w:szCs w:val="24"/>
        </w:rPr>
        <w:t>Acuerdo de Improcedencia</w:t>
      </w:r>
      <w:r w:rsidR="00F61A62" w:rsidRPr="00126723">
        <w:rPr>
          <w:rFonts w:ascii="Arial Nova Light" w:hAnsi="Arial Nova Light"/>
          <w:bCs/>
          <w:szCs w:val="24"/>
        </w:rPr>
        <w:t xml:space="preserve"> dictado</w:t>
      </w:r>
      <w:r w:rsidR="008F1DE1">
        <w:rPr>
          <w:rFonts w:ascii="Arial Nova Light" w:hAnsi="Arial Nova Light"/>
          <w:bCs/>
          <w:szCs w:val="24"/>
        </w:rPr>
        <w:t xml:space="preserve"> dentro del expediente </w:t>
      </w:r>
      <w:r w:rsidR="008F1DE1" w:rsidRPr="008F1DE1">
        <w:rPr>
          <w:rFonts w:ascii="Arial Nova Light" w:hAnsi="Arial Nova Light"/>
          <w:b/>
          <w:bCs/>
          <w:szCs w:val="24"/>
        </w:rPr>
        <w:t>CNHJ-AGS-817/2021</w:t>
      </w:r>
      <w:r w:rsidR="00F61A62" w:rsidRPr="00126723">
        <w:rPr>
          <w:rFonts w:ascii="Arial Nova Light" w:hAnsi="Arial Nova Light"/>
          <w:bCs/>
          <w:szCs w:val="24"/>
        </w:rPr>
        <w:t xml:space="preserve"> por la Comisión Nacional de Honestidad y Justicia el pasado doce de abril</w:t>
      </w:r>
      <w:r w:rsidR="00500A21">
        <w:rPr>
          <w:rFonts w:ascii="Arial Nova Light" w:hAnsi="Arial Nova Light"/>
          <w:bCs/>
          <w:szCs w:val="24"/>
        </w:rPr>
        <w:t xml:space="preserve"> </w:t>
      </w:r>
      <w:r w:rsidR="00500A21" w:rsidRPr="00500A21">
        <w:rPr>
          <w:rFonts w:ascii="Arial Nova Light" w:hAnsi="Arial Nova Light"/>
          <w:bCs/>
          <w:szCs w:val="24"/>
        </w:rPr>
        <w:t>dos mil veintiuno</w:t>
      </w:r>
      <w:r w:rsidR="00500A21">
        <w:rPr>
          <w:rFonts w:ascii="Arial Nova Light" w:hAnsi="Arial Nova Light"/>
          <w:bCs/>
          <w:szCs w:val="24"/>
        </w:rPr>
        <w:t>.</w:t>
      </w:r>
    </w:p>
    <w:p w14:paraId="66BFACBA" w14:textId="77777777" w:rsidR="009A54F1" w:rsidRPr="00126723" w:rsidRDefault="009A54F1" w:rsidP="009A54F1">
      <w:pPr>
        <w:pStyle w:val="Estilo"/>
        <w:spacing w:line="360" w:lineRule="auto"/>
        <w:jc w:val="center"/>
        <w:rPr>
          <w:rFonts w:ascii="Arial Nova Light" w:hAnsi="Arial Nova Light"/>
          <w:b/>
          <w:bCs/>
          <w:szCs w:val="24"/>
        </w:rPr>
      </w:pPr>
      <w:r w:rsidRPr="00126723">
        <w:rPr>
          <w:rFonts w:ascii="Arial Nova Light" w:hAnsi="Arial Nova Light"/>
          <w:b/>
          <w:bCs/>
          <w:szCs w:val="24"/>
        </w:rPr>
        <w:t>GLOSARIO</w:t>
      </w:r>
    </w:p>
    <w:tbl>
      <w:tblPr>
        <w:tblW w:w="7513" w:type="dxa"/>
        <w:jc w:val="center"/>
        <w:tblLayout w:type="fixed"/>
        <w:tblLook w:val="0400" w:firstRow="0" w:lastRow="0" w:firstColumn="0" w:lastColumn="0" w:noHBand="0" w:noVBand="1"/>
      </w:tblPr>
      <w:tblGrid>
        <w:gridCol w:w="2405"/>
        <w:gridCol w:w="5108"/>
      </w:tblGrid>
      <w:tr w:rsidR="009A54F1" w:rsidRPr="00126723" w14:paraId="65065894" w14:textId="77777777" w:rsidTr="00CC4367">
        <w:trPr>
          <w:jc w:val="center"/>
        </w:trPr>
        <w:tc>
          <w:tcPr>
            <w:tcW w:w="2405" w:type="dxa"/>
          </w:tcPr>
          <w:p w14:paraId="62523748" w14:textId="4A7A3C9F" w:rsidR="009A54F1" w:rsidRPr="00126723" w:rsidRDefault="009A54F1" w:rsidP="00B70A01">
            <w:pPr>
              <w:pStyle w:val="Estilo"/>
              <w:jc w:val="right"/>
              <w:rPr>
                <w:rFonts w:ascii="Arial Nova Light" w:eastAsia="Arial Nova" w:hAnsi="Arial Nova Light"/>
                <w:b/>
                <w:bCs/>
                <w:sz w:val="20"/>
                <w:szCs w:val="20"/>
              </w:rPr>
            </w:pPr>
            <w:r w:rsidRPr="00126723">
              <w:rPr>
                <w:rFonts w:ascii="Arial Nova Light" w:eastAsia="Arial Nova" w:hAnsi="Arial Nova Light"/>
                <w:b/>
                <w:bCs/>
                <w:sz w:val="20"/>
                <w:szCs w:val="20"/>
              </w:rPr>
              <w:t>Actor</w:t>
            </w:r>
            <w:r w:rsidR="00947C96" w:rsidRPr="00126723">
              <w:rPr>
                <w:rFonts w:ascii="Arial Nova Light" w:eastAsia="Arial Nova" w:hAnsi="Arial Nova Light"/>
                <w:b/>
                <w:bCs/>
                <w:sz w:val="20"/>
                <w:szCs w:val="20"/>
              </w:rPr>
              <w:t>es</w:t>
            </w:r>
            <w:r w:rsidR="008B7E86" w:rsidRPr="00126723">
              <w:rPr>
                <w:rFonts w:ascii="Arial Nova Light" w:eastAsia="Arial Nova" w:hAnsi="Arial Nova Light"/>
                <w:b/>
                <w:bCs/>
                <w:sz w:val="20"/>
                <w:szCs w:val="20"/>
              </w:rPr>
              <w:t xml:space="preserve"> o promoventes</w:t>
            </w:r>
            <w:r w:rsidRPr="00126723">
              <w:rPr>
                <w:rFonts w:ascii="Arial Nova Light" w:eastAsia="Arial Nova" w:hAnsi="Arial Nova Light"/>
                <w:b/>
                <w:bCs/>
                <w:sz w:val="20"/>
                <w:szCs w:val="20"/>
              </w:rPr>
              <w:t>:</w:t>
            </w:r>
          </w:p>
        </w:tc>
        <w:tc>
          <w:tcPr>
            <w:tcW w:w="5108" w:type="dxa"/>
          </w:tcPr>
          <w:p w14:paraId="071FAB96" w14:textId="70D41487" w:rsidR="009A54F1" w:rsidRPr="00126723" w:rsidRDefault="00F61A62" w:rsidP="00B70A01">
            <w:pPr>
              <w:pStyle w:val="Estilo"/>
              <w:rPr>
                <w:rFonts w:ascii="Arial Nova Light" w:eastAsia="Arial Nova" w:hAnsi="Arial Nova Light"/>
                <w:bCs/>
                <w:sz w:val="20"/>
                <w:szCs w:val="20"/>
              </w:rPr>
            </w:pPr>
            <w:r w:rsidRPr="00126723">
              <w:rPr>
                <w:rFonts w:ascii="Arial Nova Light" w:hAnsi="Arial Nova Light"/>
                <w:bCs/>
                <w:sz w:val="20"/>
                <w:szCs w:val="20"/>
              </w:rPr>
              <w:t xml:space="preserve">Octavio Morales López; Marco Antonio Martínez Proa; </w:t>
            </w:r>
            <w:r w:rsidR="00610653" w:rsidRPr="00126723">
              <w:rPr>
                <w:rFonts w:ascii="Arial Nova Light" w:hAnsi="Arial Nova Light"/>
                <w:bCs/>
                <w:sz w:val="20"/>
                <w:szCs w:val="20"/>
              </w:rPr>
              <w:t xml:space="preserve">Isabel Sotomayor </w:t>
            </w:r>
            <w:r w:rsidR="00311E42" w:rsidRPr="00126723">
              <w:rPr>
                <w:rFonts w:ascii="Arial Nova Light" w:hAnsi="Arial Nova Light"/>
                <w:bCs/>
                <w:sz w:val="20"/>
                <w:szCs w:val="20"/>
              </w:rPr>
              <w:t xml:space="preserve">Barrientos; Omar Alejandro Morales López; Elvira Aguilar López; y Alejandro Barbosa Loreto. </w:t>
            </w:r>
            <w:r w:rsidR="006B1C16" w:rsidRPr="00126723">
              <w:rPr>
                <w:rFonts w:ascii="Arial Nova Light" w:hAnsi="Arial Nova Light"/>
                <w:bCs/>
                <w:sz w:val="20"/>
                <w:szCs w:val="20"/>
              </w:rPr>
              <w:t xml:space="preserve"> </w:t>
            </w:r>
          </w:p>
        </w:tc>
      </w:tr>
      <w:tr w:rsidR="009A54F1" w:rsidRPr="00126723" w14:paraId="7512F3E4" w14:textId="77777777" w:rsidTr="00CC4367">
        <w:trPr>
          <w:jc w:val="center"/>
        </w:trPr>
        <w:tc>
          <w:tcPr>
            <w:tcW w:w="2405" w:type="dxa"/>
          </w:tcPr>
          <w:p w14:paraId="3BB2CFD6" w14:textId="77777777" w:rsidR="009A54F1" w:rsidRPr="00126723" w:rsidRDefault="009A54F1" w:rsidP="00B70A01">
            <w:pPr>
              <w:pStyle w:val="Estilo"/>
              <w:jc w:val="right"/>
              <w:rPr>
                <w:rFonts w:ascii="Arial Nova Light" w:eastAsia="Arial Nova" w:hAnsi="Arial Nova Light"/>
                <w:b/>
                <w:bCs/>
                <w:sz w:val="20"/>
                <w:szCs w:val="20"/>
              </w:rPr>
            </w:pPr>
            <w:r w:rsidRPr="00126723">
              <w:rPr>
                <w:rFonts w:ascii="Arial Nova Light" w:eastAsia="Arial Nova" w:hAnsi="Arial Nova Light"/>
                <w:b/>
                <w:bCs/>
                <w:sz w:val="20"/>
                <w:szCs w:val="20"/>
              </w:rPr>
              <w:t xml:space="preserve">Tribunal: </w:t>
            </w:r>
          </w:p>
        </w:tc>
        <w:tc>
          <w:tcPr>
            <w:tcW w:w="5108" w:type="dxa"/>
          </w:tcPr>
          <w:p w14:paraId="55DC075A" w14:textId="77777777" w:rsidR="009A54F1" w:rsidRPr="00126723" w:rsidRDefault="009A54F1" w:rsidP="00B70A01">
            <w:pPr>
              <w:pStyle w:val="Estilo"/>
              <w:rPr>
                <w:rFonts w:ascii="Arial Nova Light" w:eastAsia="Arial Nova" w:hAnsi="Arial Nova Light"/>
                <w:bCs/>
                <w:sz w:val="20"/>
                <w:szCs w:val="20"/>
              </w:rPr>
            </w:pPr>
            <w:r w:rsidRPr="00126723">
              <w:rPr>
                <w:rFonts w:ascii="Arial Nova Light" w:eastAsia="Arial Nova" w:hAnsi="Arial Nova Light"/>
                <w:bCs/>
                <w:sz w:val="20"/>
                <w:szCs w:val="20"/>
              </w:rPr>
              <w:t xml:space="preserve">Tribunal Electoral del Estado de Aguascalientes. </w:t>
            </w:r>
          </w:p>
        </w:tc>
      </w:tr>
      <w:tr w:rsidR="00480CFC" w:rsidRPr="00126723" w14:paraId="57B54CE6" w14:textId="77777777" w:rsidTr="00B70A01">
        <w:trPr>
          <w:trHeight w:val="279"/>
          <w:jc w:val="center"/>
        </w:trPr>
        <w:tc>
          <w:tcPr>
            <w:tcW w:w="2405" w:type="dxa"/>
          </w:tcPr>
          <w:p w14:paraId="732356C1" w14:textId="3D485E6C" w:rsidR="00480CFC" w:rsidRPr="00126723" w:rsidRDefault="009B7119" w:rsidP="00B70A01">
            <w:pPr>
              <w:pStyle w:val="Estilo"/>
              <w:jc w:val="right"/>
              <w:rPr>
                <w:rFonts w:ascii="Arial Nova Light" w:eastAsia="Arial Nova" w:hAnsi="Arial Nova Light"/>
                <w:b/>
                <w:bCs/>
                <w:sz w:val="20"/>
                <w:szCs w:val="20"/>
              </w:rPr>
            </w:pPr>
            <w:r w:rsidRPr="00126723">
              <w:rPr>
                <w:rFonts w:ascii="Arial Nova Light" w:hAnsi="Arial Nova Light" w:cs="Arial"/>
                <w:b/>
                <w:bCs/>
                <w:sz w:val="20"/>
                <w:szCs w:val="20"/>
                <w:lang w:eastAsia="es-MX"/>
              </w:rPr>
              <w:t>CNHJ</w:t>
            </w:r>
            <w:r w:rsidR="00480CFC" w:rsidRPr="00126723">
              <w:rPr>
                <w:rFonts w:ascii="Arial Nova Light" w:hAnsi="Arial Nova Light" w:cs="Arial"/>
                <w:b/>
                <w:bCs/>
                <w:sz w:val="20"/>
                <w:szCs w:val="20"/>
                <w:lang w:eastAsia="es-MX"/>
              </w:rPr>
              <w:t>:</w:t>
            </w:r>
          </w:p>
        </w:tc>
        <w:tc>
          <w:tcPr>
            <w:tcW w:w="5108" w:type="dxa"/>
          </w:tcPr>
          <w:p w14:paraId="2DC41DBB" w14:textId="71750DDD" w:rsidR="00480CFC" w:rsidRPr="00126723" w:rsidRDefault="009B7119" w:rsidP="00B70A01">
            <w:pPr>
              <w:tabs>
                <w:tab w:val="left" w:pos="284"/>
                <w:tab w:val="left" w:pos="9214"/>
              </w:tabs>
              <w:spacing w:line="240" w:lineRule="auto"/>
              <w:ind w:right="49"/>
              <w:jc w:val="both"/>
              <w:rPr>
                <w:rFonts w:ascii="Arial Nova Light" w:hAnsi="Arial Nova Light" w:cs="Arial"/>
                <w:bCs/>
                <w:sz w:val="20"/>
                <w:szCs w:val="20"/>
              </w:rPr>
            </w:pPr>
            <w:r w:rsidRPr="00126723">
              <w:rPr>
                <w:rFonts w:ascii="Arial Nova Light" w:hAnsi="Arial Nova Light" w:cs="Arial"/>
                <w:bCs/>
                <w:sz w:val="20"/>
                <w:szCs w:val="20"/>
              </w:rPr>
              <w:t>Comisión Nacional de Honestidad y Justicia de MORENA</w:t>
            </w:r>
          </w:p>
        </w:tc>
      </w:tr>
      <w:tr w:rsidR="00480CFC" w:rsidRPr="00126723" w14:paraId="1EE06C0A" w14:textId="77777777" w:rsidTr="00CC4367">
        <w:trPr>
          <w:jc w:val="center"/>
        </w:trPr>
        <w:tc>
          <w:tcPr>
            <w:tcW w:w="2405" w:type="dxa"/>
          </w:tcPr>
          <w:p w14:paraId="6153F5B6" w14:textId="79D5C48F" w:rsidR="00480CFC" w:rsidRPr="00126723" w:rsidRDefault="00480CFC" w:rsidP="00B70A01">
            <w:pPr>
              <w:pStyle w:val="Estilo"/>
              <w:jc w:val="right"/>
              <w:rPr>
                <w:rFonts w:ascii="Arial Nova Light" w:eastAsia="Arial Nova" w:hAnsi="Arial Nova Light"/>
                <w:b/>
                <w:bCs/>
                <w:sz w:val="20"/>
                <w:szCs w:val="20"/>
              </w:rPr>
            </w:pPr>
            <w:r w:rsidRPr="00126723">
              <w:rPr>
                <w:rFonts w:ascii="Arial Nova Light" w:hAnsi="Arial Nova Light" w:cs="Arial"/>
                <w:b/>
                <w:bCs/>
                <w:sz w:val="20"/>
                <w:szCs w:val="20"/>
                <w:lang w:eastAsia="es-MX"/>
              </w:rPr>
              <w:t>IEE:</w:t>
            </w:r>
          </w:p>
        </w:tc>
        <w:tc>
          <w:tcPr>
            <w:tcW w:w="5108" w:type="dxa"/>
          </w:tcPr>
          <w:p w14:paraId="6D061F01" w14:textId="17938660" w:rsidR="00480CFC" w:rsidRPr="00126723" w:rsidRDefault="00480CFC" w:rsidP="00B70A01">
            <w:pPr>
              <w:tabs>
                <w:tab w:val="left" w:pos="284"/>
                <w:tab w:val="left" w:pos="9214"/>
              </w:tabs>
              <w:spacing w:line="240" w:lineRule="auto"/>
              <w:ind w:left="284" w:right="49" w:hanging="284"/>
              <w:jc w:val="both"/>
              <w:rPr>
                <w:rFonts w:ascii="Arial Nova Light" w:eastAsia="Arial Nova" w:hAnsi="Arial Nova Light"/>
                <w:bCs/>
                <w:sz w:val="20"/>
                <w:szCs w:val="20"/>
              </w:rPr>
            </w:pPr>
            <w:r w:rsidRPr="00126723">
              <w:rPr>
                <w:rFonts w:ascii="Arial Nova Light" w:hAnsi="Arial Nova Light" w:cs="Arial"/>
                <w:bCs/>
                <w:sz w:val="20"/>
                <w:szCs w:val="20"/>
              </w:rPr>
              <w:t>Instituto Estatal Electoral.</w:t>
            </w:r>
          </w:p>
        </w:tc>
      </w:tr>
      <w:tr w:rsidR="00480CFC" w:rsidRPr="00126723" w14:paraId="7E61EA1F" w14:textId="77777777" w:rsidTr="00CC4367">
        <w:trPr>
          <w:jc w:val="center"/>
        </w:trPr>
        <w:tc>
          <w:tcPr>
            <w:tcW w:w="2405" w:type="dxa"/>
          </w:tcPr>
          <w:p w14:paraId="229D8D15" w14:textId="32A1C834" w:rsidR="00480CFC" w:rsidRPr="00126723" w:rsidRDefault="00480CFC" w:rsidP="00B70A01">
            <w:pPr>
              <w:tabs>
                <w:tab w:val="left" w:pos="284"/>
                <w:tab w:val="left" w:pos="9214"/>
              </w:tabs>
              <w:spacing w:line="240" w:lineRule="auto"/>
              <w:ind w:right="49"/>
              <w:jc w:val="right"/>
              <w:rPr>
                <w:rFonts w:ascii="Arial Nova Light" w:eastAsia="Arial Nova" w:hAnsi="Arial Nova Light"/>
                <w:b/>
                <w:bCs/>
                <w:sz w:val="20"/>
                <w:szCs w:val="20"/>
              </w:rPr>
            </w:pPr>
            <w:r w:rsidRPr="00126723">
              <w:rPr>
                <w:rFonts w:ascii="Arial Nova Light" w:hAnsi="Arial Nova Light" w:cs="Arial"/>
                <w:b/>
                <w:bCs/>
                <w:sz w:val="20"/>
                <w:szCs w:val="20"/>
              </w:rPr>
              <w:t>MORENA:</w:t>
            </w:r>
          </w:p>
        </w:tc>
        <w:tc>
          <w:tcPr>
            <w:tcW w:w="5108" w:type="dxa"/>
          </w:tcPr>
          <w:p w14:paraId="113A231E" w14:textId="0B57B5F6" w:rsidR="00480CFC" w:rsidRPr="00126723" w:rsidRDefault="00480CFC" w:rsidP="00B70A01">
            <w:pPr>
              <w:pStyle w:val="Estilo"/>
              <w:rPr>
                <w:rFonts w:ascii="Arial Nova Light" w:eastAsia="Arial Nova" w:hAnsi="Arial Nova Light"/>
                <w:bCs/>
                <w:sz w:val="20"/>
                <w:szCs w:val="20"/>
              </w:rPr>
            </w:pPr>
            <w:r w:rsidRPr="00126723">
              <w:rPr>
                <w:rFonts w:ascii="Arial Nova Light" w:hAnsi="Arial Nova Light" w:cs="Arial"/>
                <w:bCs/>
                <w:sz w:val="20"/>
                <w:szCs w:val="20"/>
                <w:lang w:eastAsia="es-MX"/>
              </w:rPr>
              <w:t>Partido Político MORENA.</w:t>
            </w:r>
          </w:p>
        </w:tc>
      </w:tr>
      <w:tr w:rsidR="00480CFC" w:rsidRPr="00126723" w14:paraId="4784EC81" w14:textId="77777777" w:rsidTr="00CC4367">
        <w:trPr>
          <w:jc w:val="center"/>
        </w:trPr>
        <w:tc>
          <w:tcPr>
            <w:tcW w:w="2405" w:type="dxa"/>
          </w:tcPr>
          <w:p w14:paraId="0D5F9842" w14:textId="038A428B" w:rsidR="00480CFC" w:rsidRPr="00126723" w:rsidRDefault="00480CFC" w:rsidP="00B70A01">
            <w:pPr>
              <w:tabs>
                <w:tab w:val="left" w:pos="284"/>
                <w:tab w:val="left" w:pos="9214"/>
              </w:tabs>
              <w:spacing w:line="240" w:lineRule="auto"/>
              <w:ind w:right="49"/>
              <w:jc w:val="right"/>
              <w:rPr>
                <w:rFonts w:ascii="Arial Nova Light" w:hAnsi="Arial Nova Light" w:cs="Arial"/>
                <w:b/>
                <w:bCs/>
                <w:sz w:val="20"/>
                <w:szCs w:val="20"/>
              </w:rPr>
            </w:pPr>
            <w:r w:rsidRPr="00126723">
              <w:rPr>
                <w:rFonts w:ascii="Arial Nova Light" w:hAnsi="Arial Nova Light" w:cs="Arial"/>
                <w:b/>
                <w:bCs/>
                <w:sz w:val="20"/>
                <w:szCs w:val="20"/>
              </w:rPr>
              <w:t>Comité Ejecutivo:</w:t>
            </w:r>
          </w:p>
        </w:tc>
        <w:tc>
          <w:tcPr>
            <w:tcW w:w="5108" w:type="dxa"/>
          </w:tcPr>
          <w:p w14:paraId="2760CC28" w14:textId="5A2DADF1" w:rsidR="00480CFC" w:rsidRPr="00126723" w:rsidRDefault="00480CFC" w:rsidP="00B70A01">
            <w:pPr>
              <w:pStyle w:val="Estilo"/>
              <w:rPr>
                <w:rFonts w:ascii="Arial Nova Light" w:eastAsia="Arial Nova" w:hAnsi="Arial Nova Light"/>
                <w:bCs/>
                <w:sz w:val="20"/>
                <w:szCs w:val="20"/>
              </w:rPr>
            </w:pPr>
            <w:r w:rsidRPr="00126723">
              <w:rPr>
                <w:rFonts w:ascii="Arial Nova Light" w:hAnsi="Arial Nova Light" w:cs="Arial"/>
                <w:bCs/>
                <w:sz w:val="20"/>
                <w:szCs w:val="20"/>
                <w:lang w:eastAsia="es-MX"/>
              </w:rPr>
              <w:t>Comité Ejecutivo Nacional de MORENA.</w:t>
            </w:r>
          </w:p>
        </w:tc>
      </w:tr>
      <w:tr w:rsidR="00480CFC" w:rsidRPr="00126723" w14:paraId="1EB0542B" w14:textId="77777777" w:rsidTr="00CC4367">
        <w:trPr>
          <w:jc w:val="center"/>
        </w:trPr>
        <w:tc>
          <w:tcPr>
            <w:tcW w:w="2405" w:type="dxa"/>
          </w:tcPr>
          <w:p w14:paraId="5171DFC3" w14:textId="6A278531" w:rsidR="00480CFC" w:rsidRPr="00126723" w:rsidRDefault="00480CFC" w:rsidP="00B70A01">
            <w:pPr>
              <w:tabs>
                <w:tab w:val="left" w:pos="284"/>
                <w:tab w:val="left" w:pos="9214"/>
              </w:tabs>
              <w:spacing w:line="240" w:lineRule="auto"/>
              <w:ind w:right="49"/>
              <w:jc w:val="right"/>
              <w:rPr>
                <w:rFonts w:ascii="Arial Nova Light" w:hAnsi="Arial Nova Light" w:cs="Arial"/>
                <w:b/>
                <w:bCs/>
                <w:sz w:val="20"/>
                <w:szCs w:val="20"/>
              </w:rPr>
            </w:pPr>
            <w:r w:rsidRPr="00126723">
              <w:rPr>
                <w:rFonts w:ascii="Arial Nova Light" w:hAnsi="Arial Nova Light" w:cs="Arial"/>
                <w:b/>
                <w:bCs/>
                <w:sz w:val="20"/>
                <w:szCs w:val="20"/>
              </w:rPr>
              <w:t>Constitución Federal:</w:t>
            </w:r>
          </w:p>
        </w:tc>
        <w:tc>
          <w:tcPr>
            <w:tcW w:w="5108" w:type="dxa"/>
          </w:tcPr>
          <w:p w14:paraId="18A21FF2" w14:textId="2655F1AB" w:rsidR="00480CFC" w:rsidRPr="00126723" w:rsidRDefault="00480CFC" w:rsidP="00B70A01">
            <w:pPr>
              <w:pStyle w:val="Estilo"/>
              <w:rPr>
                <w:rFonts w:ascii="Arial Nova Light" w:hAnsi="Arial Nova Light"/>
                <w:sz w:val="20"/>
                <w:szCs w:val="20"/>
              </w:rPr>
            </w:pPr>
            <w:r w:rsidRPr="00126723">
              <w:rPr>
                <w:rFonts w:ascii="Arial Nova Light" w:hAnsi="Arial Nova Light" w:cs="Arial"/>
                <w:bCs/>
                <w:sz w:val="20"/>
                <w:szCs w:val="20"/>
                <w:lang w:eastAsia="es-MX"/>
              </w:rPr>
              <w:t>Constitución Política de los Estados Unidos Mexicanos.</w:t>
            </w:r>
          </w:p>
        </w:tc>
      </w:tr>
      <w:tr w:rsidR="00480CFC" w:rsidRPr="00126723" w14:paraId="5C344561" w14:textId="77777777" w:rsidTr="00CC4367">
        <w:trPr>
          <w:jc w:val="center"/>
        </w:trPr>
        <w:tc>
          <w:tcPr>
            <w:tcW w:w="2405" w:type="dxa"/>
          </w:tcPr>
          <w:p w14:paraId="6D99B382" w14:textId="7FF2FBB2" w:rsidR="009B7119" w:rsidRPr="00126723" w:rsidRDefault="00480CFC" w:rsidP="00B70A01">
            <w:pPr>
              <w:pStyle w:val="Estilo"/>
              <w:jc w:val="right"/>
              <w:rPr>
                <w:rFonts w:ascii="Arial Nova Light" w:hAnsi="Arial Nova Light" w:cs="Arial"/>
                <w:b/>
                <w:bCs/>
                <w:sz w:val="20"/>
                <w:szCs w:val="20"/>
                <w:lang w:eastAsia="es-MX"/>
              </w:rPr>
            </w:pPr>
            <w:r w:rsidRPr="00126723">
              <w:rPr>
                <w:rFonts w:ascii="Arial Nova Light" w:hAnsi="Arial Nova Light" w:cs="Arial"/>
                <w:b/>
                <w:bCs/>
                <w:sz w:val="20"/>
                <w:szCs w:val="20"/>
                <w:lang w:eastAsia="es-MX"/>
              </w:rPr>
              <w:t>Ley de Medios:</w:t>
            </w:r>
          </w:p>
        </w:tc>
        <w:tc>
          <w:tcPr>
            <w:tcW w:w="5108" w:type="dxa"/>
          </w:tcPr>
          <w:p w14:paraId="3C8883C7" w14:textId="092D9992" w:rsidR="00480CFC" w:rsidRPr="00126723" w:rsidRDefault="00480CFC" w:rsidP="00B70A01">
            <w:pPr>
              <w:tabs>
                <w:tab w:val="left" w:pos="284"/>
                <w:tab w:val="left" w:pos="9214"/>
              </w:tabs>
              <w:spacing w:line="240" w:lineRule="auto"/>
              <w:ind w:right="49"/>
              <w:jc w:val="both"/>
              <w:rPr>
                <w:rFonts w:ascii="Arial Nova Light" w:hAnsi="Arial Nova Light" w:cs="Arial"/>
                <w:bCs/>
                <w:sz w:val="20"/>
                <w:szCs w:val="20"/>
              </w:rPr>
            </w:pPr>
            <w:r w:rsidRPr="00126723">
              <w:rPr>
                <w:rFonts w:ascii="Arial Nova Light" w:hAnsi="Arial Nova Light" w:cs="Arial"/>
                <w:bCs/>
                <w:sz w:val="20"/>
                <w:szCs w:val="20"/>
              </w:rPr>
              <w:t>Ley General del Sistema de Medios de Impugnación en Materia Electoral.</w:t>
            </w:r>
          </w:p>
        </w:tc>
      </w:tr>
      <w:tr w:rsidR="00480CFC" w:rsidRPr="00126723" w14:paraId="479C8159" w14:textId="77777777" w:rsidTr="00CC4367">
        <w:trPr>
          <w:jc w:val="center"/>
        </w:trPr>
        <w:tc>
          <w:tcPr>
            <w:tcW w:w="2405" w:type="dxa"/>
          </w:tcPr>
          <w:p w14:paraId="5C567D24" w14:textId="07D1BBB0" w:rsidR="00480CFC" w:rsidRPr="00126723" w:rsidRDefault="00480CFC" w:rsidP="00B70A01">
            <w:pPr>
              <w:pStyle w:val="Estilo"/>
              <w:jc w:val="right"/>
              <w:rPr>
                <w:rFonts w:ascii="Arial Nova Light" w:hAnsi="Arial Nova Light"/>
                <w:b/>
                <w:bCs/>
                <w:sz w:val="20"/>
                <w:szCs w:val="20"/>
              </w:rPr>
            </w:pPr>
            <w:r w:rsidRPr="00126723">
              <w:rPr>
                <w:rFonts w:ascii="Arial Nova Light" w:hAnsi="Arial Nova Light" w:cs="Arial"/>
                <w:b/>
                <w:bCs/>
                <w:sz w:val="20"/>
                <w:szCs w:val="20"/>
                <w:lang w:eastAsia="es-MX"/>
              </w:rPr>
              <w:t>Código Electoral:</w:t>
            </w:r>
          </w:p>
        </w:tc>
        <w:tc>
          <w:tcPr>
            <w:tcW w:w="5108" w:type="dxa"/>
          </w:tcPr>
          <w:p w14:paraId="7D0BC549" w14:textId="460F0057" w:rsidR="00480CFC" w:rsidRPr="00126723" w:rsidRDefault="00480CFC" w:rsidP="00B70A01">
            <w:pPr>
              <w:pStyle w:val="Estilo"/>
              <w:rPr>
                <w:rFonts w:ascii="Arial Nova Light" w:hAnsi="Arial Nova Light"/>
                <w:sz w:val="20"/>
                <w:szCs w:val="20"/>
              </w:rPr>
            </w:pPr>
            <w:r w:rsidRPr="00126723">
              <w:rPr>
                <w:rFonts w:ascii="Arial Nova Light" w:hAnsi="Arial Nova Light" w:cs="Arial"/>
                <w:bCs/>
                <w:sz w:val="20"/>
                <w:szCs w:val="20"/>
                <w:lang w:eastAsia="es-MX"/>
              </w:rPr>
              <w:t>Código Electoral del Estado de Aguascalientes.</w:t>
            </w:r>
          </w:p>
        </w:tc>
      </w:tr>
    </w:tbl>
    <w:p w14:paraId="13860DA4" w14:textId="77777777" w:rsidR="009A54F1" w:rsidRPr="00126723" w:rsidRDefault="009A54F1" w:rsidP="009A54F1">
      <w:pPr>
        <w:pStyle w:val="Estilo"/>
        <w:spacing w:line="360" w:lineRule="auto"/>
        <w:rPr>
          <w:rFonts w:ascii="Arial Nova Light" w:hAnsi="Arial Nova Light"/>
          <w:szCs w:val="24"/>
        </w:rPr>
      </w:pPr>
    </w:p>
    <w:p w14:paraId="18C611D1" w14:textId="06B95C80" w:rsidR="009A54F1" w:rsidRPr="00126723" w:rsidRDefault="009A54F1" w:rsidP="009A54F1">
      <w:pPr>
        <w:pStyle w:val="Estilo"/>
        <w:numPr>
          <w:ilvl w:val="0"/>
          <w:numId w:val="35"/>
        </w:numPr>
        <w:spacing w:line="360" w:lineRule="auto"/>
        <w:ind w:left="0" w:firstLine="0"/>
        <w:rPr>
          <w:rFonts w:ascii="Arial Nova Light" w:eastAsia="Arial" w:hAnsi="Arial Nova Light"/>
          <w:bCs/>
          <w:spacing w:val="1"/>
          <w:szCs w:val="24"/>
        </w:rPr>
      </w:pPr>
      <w:r w:rsidRPr="00126723">
        <w:rPr>
          <w:rFonts w:ascii="Arial Nova Light" w:hAnsi="Arial Nova Light"/>
          <w:b/>
          <w:bCs/>
          <w:szCs w:val="24"/>
        </w:rPr>
        <w:t>ANTECEDENTES</w:t>
      </w:r>
      <w:r w:rsidRPr="00126723">
        <w:rPr>
          <w:rFonts w:ascii="Arial Nova Light" w:hAnsi="Arial Nova Light"/>
          <w:szCs w:val="24"/>
        </w:rPr>
        <w:t>. Las fechas corresponden a la anualidad del dos mil</w:t>
      </w:r>
      <w:r w:rsidR="00500A21">
        <w:rPr>
          <w:rFonts w:ascii="Arial Nova Light" w:hAnsi="Arial Nova Light"/>
          <w:szCs w:val="24"/>
        </w:rPr>
        <w:t xml:space="preserve"> </w:t>
      </w:r>
      <w:r w:rsidRPr="00126723">
        <w:rPr>
          <w:rFonts w:ascii="Arial Nova Light" w:hAnsi="Arial Nova Light"/>
          <w:szCs w:val="24"/>
        </w:rPr>
        <w:t>veintiuno, salvo precisión en contrario.</w:t>
      </w:r>
    </w:p>
    <w:p w14:paraId="01A62C1D" w14:textId="77777777" w:rsidR="009A54F1" w:rsidRPr="00126723" w:rsidRDefault="009A54F1" w:rsidP="009A54F1">
      <w:pPr>
        <w:pStyle w:val="Estilo"/>
        <w:spacing w:line="360" w:lineRule="auto"/>
        <w:rPr>
          <w:rFonts w:ascii="Arial Nova Light" w:eastAsia="Arial" w:hAnsi="Arial Nova Light"/>
          <w:bCs/>
          <w:spacing w:val="1"/>
          <w:szCs w:val="24"/>
        </w:rPr>
      </w:pPr>
    </w:p>
    <w:p w14:paraId="1F774790" w14:textId="77777777" w:rsidR="00920EBD" w:rsidRPr="00126723" w:rsidRDefault="009A54F1" w:rsidP="00920EBD">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126723">
        <w:rPr>
          <w:rFonts w:ascii="Arial Nova Light" w:eastAsia="Arial Nova" w:hAnsi="Arial Nova Light" w:cs="Arial Nova"/>
          <w:b/>
          <w:sz w:val="24"/>
          <w:szCs w:val="24"/>
        </w:rPr>
        <w:t xml:space="preserve">Inicio del Proceso Electoral. </w:t>
      </w:r>
      <w:r w:rsidRPr="00126723">
        <w:rPr>
          <w:rFonts w:ascii="Arial Nova Light" w:eastAsia="Arial Nova" w:hAnsi="Arial Nova Light" w:cs="Arial Nova"/>
          <w:bCs/>
          <w:sz w:val="24"/>
          <w:szCs w:val="24"/>
        </w:rPr>
        <w:t xml:space="preserve">El día tres de noviembre del año dos mil veinte, en sesión extraordinaria del </w:t>
      </w:r>
      <w:r w:rsidR="004F26C6" w:rsidRPr="00126723">
        <w:rPr>
          <w:rFonts w:ascii="Arial Nova Light" w:eastAsia="Arial Nova" w:hAnsi="Arial Nova Light" w:cs="Arial Nova"/>
          <w:bCs/>
          <w:sz w:val="24"/>
          <w:szCs w:val="24"/>
        </w:rPr>
        <w:t>CG</w:t>
      </w:r>
      <w:r w:rsidRPr="00126723">
        <w:rPr>
          <w:rFonts w:ascii="Arial Nova Light" w:eastAsia="Arial Nova" w:hAnsi="Arial Nova Light" w:cs="Arial Nova"/>
          <w:bCs/>
          <w:sz w:val="24"/>
          <w:szCs w:val="24"/>
        </w:rPr>
        <w:t xml:space="preserve"> se realizó la declaratoria del inicio del Proceso Electoral Concurrente Ordinario 2020-2021 en el estado de Aguascalientes, para la renovación del Congreso del Estado y de los once Ayuntamientos que conforman la entidad.</w:t>
      </w:r>
    </w:p>
    <w:p w14:paraId="4B263508" w14:textId="6FD43097" w:rsidR="00920EBD" w:rsidRPr="00126723" w:rsidRDefault="002F27E3" w:rsidP="00920EBD">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126723">
        <w:rPr>
          <w:rFonts w:ascii="Arial Nova Light" w:hAnsi="Arial Nova Light" w:cs="Arial"/>
          <w:b/>
          <w:sz w:val="24"/>
          <w:szCs w:val="24"/>
        </w:rPr>
        <w:lastRenderedPageBreak/>
        <w:t xml:space="preserve">Emisión de la convocatoria. </w:t>
      </w:r>
      <w:r w:rsidRPr="00126723">
        <w:rPr>
          <w:rFonts w:ascii="Arial Nova Light" w:hAnsi="Arial Nova Light" w:cs="Arial"/>
          <w:bCs/>
          <w:sz w:val="24"/>
          <w:szCs w:val="24"/>
        </w:rPr>
        <w:t>El treinta de enero, el Comité Ejecutivo Nacional de MORENA, emitió la convocatoria para la selección de las candidaturas para la postulación y registro de candidaturas de dicho partido</w:t>
      </w:r>
      <w:r w:rsidRPr="00126723">
        <w:rPr>
          <w:rStyle w:val="Refdenotaalpie"/>
          <w:rFonts w:ascii="Arial Nova Light" w:hAnsi="Arial Nova Light" w:cs="Arial"/>
          <w:bCs/>
          <w:sz w:val="24"/>
          <w:szCs w:val="24"/>
        </w:rPr>
        <w:footnoteReference w:id="1"/>
      </w:r>
      <w:r w:rsidRPr="00126723">
        <w:rPr>
          <w:rFonts w:ascii="Arial Nova Light" w:hAnsi="Arial Nova Light" w:cs="Arial"/>
          <w:bCs/>
          <w:sz w:val="24"/>
          <w:szCs w:val="24"/>
        </w:rPr>
        <w:t>.</w:t>
      </w:r>
      <w:bookmarkEnd w:id="0"/>
    </w:p>
    <w:p w14:paraId="3A590F43" w14:textId="77777777" w:rsidR="00920EBD" w:rsidRPr="00126723" w:rsidRDefault="00920EBD" w:rsidP="00920EBD">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Nova"/>
          <w:bCs/>
          <w:sz w:val="24"/>
          <w:szCs w:val="24"/>
        </w:rPr>
      </w:pPr>
    </w:p>
    <w:p w14:paraId="599C1FCA" w14:textId="52AFEC2D" w:rsidR="00920EBD" w:rsidRPr="00126723" w:rsidRDefault="00920EBD" w:rsidP="00920EBD">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126723">
        <w:rPr>
          <w:rFonts w:ascii="Arial Nova Light" w:hAnsi="Arial Nova Light" w:cs="Arial"/>
          <w:b/>
          <w:sz w:val="24"/>
          <w:szCs w:val="24"/>
        </w:rPr>
        <w:t xml:space="preserve">Registro de candidaturas. </w:t>
      </w:r>
      <w:r w:rsidRPr="00126723">
        <w:rPr>
          <w:rFonts w:ascii="Arial Nova Light" w:hAnsi="Arial Nova Light" w:cs="Arial"/>
          <w:sz w:val="24"/>
          <w:szCs w:val="24"/>
        </w:rPr>
        <w:t>El IEE, aprobó la agenda electoral</w:t>
      </w:r>
      <w:r w:rsidRPr="00126723">
        <w:rPr>
          <w:rStyle w:val="Refdenotaalpie"/>
          <w:rFonts w:ascii="Arial Nova Light" w:hAnsi="Arial Nova Light" w:cs="Arial"/>
          <w:sz w:val="24"/>
          <w:szCs w:val="24"/>
        </w:rPr>
        <w:footnoteReference w:id="2"/>
      </w:r>
      <w:r w:rsidRPr="00126723">
        <w:rPr>
          <w:rFonts w:ascii="Arial Nova Light" w:hAnsi="Arial Nova Light" w:cs="Arial"/>
          <w:sz w:val="24"/>
          <w:szCs w:val="24"/>
        </w:rPr>
        <w:t xml:space="preserve"> para el actual proceso comicial, en la que estableció que el registro de candidaturas a los cargos de Ayuntamientos y diputaciones se realizaría del quince al veinte de marzo.  </w:t>
      </w:r>
      <w:bookmarkStart w:id="1" w:name="_Toc483300358"/>
      <w:bookmarkStart w:id="2" w:name="_Hlk49948350"/>
    </w:p>
    <w:p w14:paraId="3E154F5F" w14:textId="77777777" w:rsidR="00920EBD" w:rsidRPr="00126723" w:rsidRDefault="00920EBD" w:rsidP="00920EBD">
      <w:pPr>
        <w:pStyle w:val="Prrafodelista"/>
        <w:rPr>
          <w:rFonts w:ascii="Arial Nova Light" w:eastAsia="Arial Nova" w:hAnsi="Arial Nova Light" w:cs="Arial Nova"/>
          <w:bCs/>
          <w:sz w:val="24"/>
          <w:szCs w:val="24"/>
        </w:rPr>
      </w:pPr>
    </w:p>
    <w:p w14:paraId="71E4C130" w14:textId="564E445F" w:rsidR="00920EBD" w:rsidRPr="00126723" w:rsidRDefault="00920EBD" w:rsidP="00920EBD">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126723">
        <w:rPr>
          <w:rFonts w:ascii="Arial Nova Light" w:hAnsi="Arial Nova Light" w:cs="Arial"/>
          <w:b/>
          <w:sz w:val="24"/>
          <w:szCs w:val="24"/>
        </w:rPr>
        <w:t xml:space="preserve">Solicitudes aprobadas. </w:t>
      </w:r>
      <w:r w:rsidRPr="00126723">
        <w:rPr>
          <w:rFonts w:ascii="Arial Nova Light" w:hAnsi="Arial Nova Light" w:cs="Arial"/>
          <w:bCs/>
          <w:sz w:val="24"/>
          <w:szCs w:val="24"/>
        </w:rPr>
        <w:t>E</w:t>
      </w:r>
      <w:r w:rsidRPr="00126723">
        <w:rPr>
          <w:rFonts w:ascii="Arial Nova Light" w:hAnsi="Arial Nova Light" w:cs="Arial"/>
          <w:sz w:val="24"/>
          <w:szCs w:val="24"/>
        </w:rPr>
        <w:t>l treinta de marzo</w:t>
      </w:r>
      <w:r w:rsidRPr="00126723">
        <w:rPr>
          <w:rFonts w:ascii="Arial Nova Light" w:hAnsi="Arial Nova Light" w:cs="Arial"/>
          <w:bCs/>
          <w:sz w:val="24"/>
          <w:szCs w:val="24"/>
        </w:rPr>
        <w:t>,</w:t>
      </w:r>
      <w:r w:rsidRPr="00126723">
        <w:rPr>
          <w:rFonts w:ascii="Arial Nova Light" w:hAnsi="Arial Nova Light" w:cs="Arial"/>
          <w:sz w:val="24"/>
          <w:szCs w:val="24"/>
        </w:rPr>
        <w:t xml:space="preserve"> la Comisión Nacional de Elecciones emitió a través de internet, la relación de solicitudes de registro aprobadas en los procesos internos para la selección de candidaturas para: presidencias municipales, diputaciones por el principio de mayoría relativa</w:t>
      </w:r>
      <w:r w:rsidR="00B97F9E">
        <w:rPr>
          <w:rFonts w:ascii="Arial Nova Light" w:hAnsi="Arial Nova Light" w:cs="Arial"/>
          <w:sz w:val="24"/>
          <w:szCs w:val="24"/>
        </w:rPr>
        <w:t xml:space="preserve">, </w:t>
      </w:r>
      <w:r w:rsidRPr="00126723">
        <w:rPr>
          <w:rFonts w:ascii="Arial Nova Light" w:hAnsi="Arial Nova Light" w:cs="Arial"/>
          <w:sz w:val="24"/>
          <w:szCs w:val="24"/>
        </w:rPr>
        <w:t>sindicaturas y regidurías en el estado de Aguascalientes.</w:t>
      </w:r>
    </w:p>
    <w:p w14:paraId="5D2349B1" w14:textId="77777777" w:rsidR="00920EBD" w:rsidRPr="00126723" w:rsidRDefault="00920EBD" w:rsidP="00920EBD">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Nova"/>
          <w:bCs/>
          <w:sz w:val="24"/>
          <w:szCs w:val="24"/>
        </w:rPr>
      </w:pPr>
    </w:p>
    <w:p w14:paraId="4CE1ECF5" w14:textId="41D3E53F" w:rsidR="00920EBD" w:rsidRPr="00126723" w:rsidRDefault="00920EBD" w:rsidP="00920EBD">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126723">
        <w:rPr>
          <w:rFonts w:ascii="Arial Nova Light" w:hAnsi="Arial Nova Light" w:cs="Arial"/>
          <w:b/>
          <w:bCs/>
          <w:sz w:val="24"/>
          <w:szCs w:val="24"/>
        </w:rPr>
        <w:t>Juicios ciudadanos.</w:t>
      </w:r>
      <w:r w:rsidRPr="00126723">
        <w:rPr>
          <w:rFonts w:ascii="Arial Nova Light" w:hAnsi="Arial Nova Light" w:cs="Arial"/>
          <w:sz w:val="24"/>
          <w:szCs w:val="24"/>
        </w:rPr>
        <w:t xml:space="preserve"> </w:t>
      </w:r>
      <w:r w:rsidR="00B97F9E">
        <w:rPr>
          <w:rFonts w:ascii="Arial Nova Light" w:hAnsi="Arial Nova Light" w:cs="Arial"/>
          <w:sz w:val="24"/>
          <w:szCs w:val="24"/>
        </w:rPr>
        <w:t>E</w:t>
      </w:r>
      <w:r w:rsidRPr="00126723">
        <w:rPr>
          <w:rFonts w:ascii="Arial Nova Light" w:hAnsi="Arial Nova Light" w:cs="Arial"/>
          <w:sz w:val="24"/>
          <w:szCs w:val="24"/>
        </w:rPr>
        <w:t xml:space="preserve">l dos, tres y cuatro de abril, militantes de MORENA, presentaron diversos juicios ciudadanos vía </w:t>
      </w:r>
      <w:r w:rsidRPr="00126723">
        <w:rPr>
          <w:rFonts w:ascii="Arial Nova Light" w:hAnsi="Arial Nova Light" w:cs="Arial"/>
          <w:i/>
          <w:iCs/>
          <w:sz w:val="24"/>
          <w:szCs w:val="24"/>
        </w:rPr>
        <w:t>per saltum</w:t>
      </w:r>
      <w:r w:rsidRPr="00126723">
        <w:rPr>
          <w:rFonts w:ascii="Arial Nova Light" w:hAnsi="Arial Nova Light" w:cs="Arial"/>
          <w:sz w:val="24"/>
          <w:szCs w:val="24"/>
        </w:rPr>
        <w:t xml:space="preserve"> ante este Tribunal Electoral, en los que se duelen de la supuesta ilegalidad de un proyecto de resolución del Consejo General IEE, así como de la relación de solicitudes de registro aprobadas para la selección de candidaturas del partido político MORENA. </w:t>
      </w:r>
      <w:r w:rsidRPr="00126723">
        <w:rPr>
          <w:rFonts w:ascii="Arial Nova Light" w:hAnsi="Arial Nova Light" w:cs="Arial"/>
          <w:bCs/>
          <w:sz w:val="24"/>
          <w:szCs w:val="24"/>
        </w:rPr>
        <w:t xml:space="preserve">Mismos que fueron </w:t>
      </w:r>
      <w:r w:rsidRPr="00126723">
        <w:rPr>
          <w:rFonts w:ascii="Arial Nova Light" w:hAnsi="Arial Nova Light" w:cs="Arial"/>
          <w:sz w:val="24"/>
          <w:szCs w:val="24"/>
        </w:rPr>
        <w:t xml:space="preserve">turnados según se ilustra en la siguiente tabla:  </w:t>
      </w:r>
    </w:p>
    <w:tbl>
      <w:tblPr>
        <w:tblStyle w:val="Tablaconcuadrcula1clara"/>
        <w:tblW w:w="3455" w:type="pct"/>
        <w:jc w:val="center"/>
        <w:tblLayout w:type="fixed"/>
        <w:tblLook w:val="04A0" w:firstRow="1" w:lastRow="0" w:firstColumn="1" w:lastColumn="0" w:noHBand="0" w:noVBand="1"/>
      </w:tblPr>
      <w:tblGrid>
        <w:gridCol w:w="690"/>
        <w:gridCol w:w="2650"/>
        <w:gridCol w:w="3314"/>
      </w:tblGrid>
      <w:tr w:rsidR="00920EBD" w:rsidRPr="00E50B28" w14:paraId="177ECB66" w14:textId="77777777" w:rsidTr="008F1DE1">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0CECE" w:themeFill="background2" w:themeFillShade="E6"/>
          </w:tcPr>
          <w:p w14:paraId="17040B6D" w14:textId="77777777" w:rsidR="00920EBD" w:rsidRPr="00E50B28" w:rsidRDefault="00920EBD" w:rsidP="00566D05">
            <w:pPr>
              <w:pStyle w:val="Sinespaciado"/>
              <w:rPr>
                <w:rFonts w:ascii="Arial Nova Light" w:hAnsi="Arial Nova Light" w:cs="Arial"/>
                <w:sz w:val="20"/>
                <w:szCs w:val="20"/>
              </w:rPr>
            </w:pPr>
            <w:r w:rsidRPr="00E50B28">
              <w:rPr>
                <w:rFonts w:ascii="Arial Nova Light" w:hAnsi="Arial Nova Light" w:cs="Arial"/>
                <w:sz w:val="20"/>
                <w:szCs w:val="20"/>
              </w:rPr>
              <w:t>No.</w:t>
            </w:r>
          </w:p>
        </w:tc>
        <w:tc>
          <w:tcPr>
            <w:tcW w:w="1991" w:type="pct"/>
            <w:hideMark/>
          </w:tcPr>
          <w:p w14:paraId="113700CF" w14:textId="77777777" w:rsidR="00920EBD" w:rsidRPr="00E50B28" w:rsidRDefault="00920EBD" w:rsidP="00566D05">
            <w:pPr>
              <w:pStyle w:val="Sinespaciado"/>
              <w:jc w:val="center"/>
              <w:cnfStyle w:val="100000000000" w:firstRow="1" w:lastRow="0" w:firstColumn="0" w:lastColumn="0" w:oddVBand="0" w:evenVBand="0" w:oddHBand="0" w:evenHBand="0" w:firstRowFirstColumn="0" w:firstRowLastColumn="0" w:lastRowFirstColumn="0" w:lastRowLastColumn="0"/>
              <w:rPr>
                <w:rFonts w:ascii="Arial Nova Light" w:eastAsiaTheme="minorHAnsi" w:hAnsi="Arial Nova Light" w:cs="Arial"/>
                <w:sz w:val="20"/>
                <w:szCs w:val="20"/>
              </w:rPr>
            </w:pPr>
            <w:r w:rsidRPr="00E50B28">
              <w:rPr>
                <w:rFonts w:ascii="Arial Nova Light" w:hAnsi="Arial Nova Light" w:cs="Arial"/>
                <w:sz w:val="20"/>
                <w:szCs w:val="20"/>
              </w:rPr>
              <w:t>Expediente</w:t>
            </w:r>
          </w:p>
        </w:tc>
        <w:tc>
          <w:tcPr>
            <w:tcW w:w="2490" w:type="pct"/>
            <w:shd w:val="clear" w:color="auto" w:fill="D0CECE" w:themeFill="background2" w:themeFillShade="E6"/>
            <w:hideMark/>
          </w:tcPr>
          <w:p w14:paraId="0626BF1F" w14:textId="77777777" w:rsidR="00920EBD" w:rsidRPr="00E50B28" w:rsidRDefault="00920EBD" w:rsidP="00566D05">
            <w:pPr>
              <w:pStyle w:val="Sinespaciado"/>
              <w:jc w:val="center"/>
              <w:cnfStyle w:val="100000000000" w:firstRow="1" w:lastRow="0" w:firstColumn="0" w:lastColumn="0" w:oddVBand="0" w:evenVBand="0" w:oddHBand="0" w:evenHBand="0" w:firstRowFirstColumn="0" w:firstRowLastColumn="0" w:lastRowFirstColumn="0" w:lastRowLastColumn="0"/>
              <w:rPr>
                <w:rFonts w:ascii="Arial Nova Light" w:eastAsiaTheme="minorHAnsi" w:hAnsi="Arial Nova Light" w:cs="Arial"/>
                <w:sz w:val="20"/>
                <w:szCs w:val="20"/>
              </w:rPr>
            </w:pPr>
            <w:r w:rsidRPr="00E50B28">
              <w:rPr>
                <w:rFonts w:ascii="Arial Nova Light" w:hAnsi="Arial Nova Light" w:cs="Arial"/>
                <w:sz w:val="20"/>
                <w:szCs w:val="20"/>
              </w:rPr>
              <w:t>Actor/a</w:t>
            </w:r>
          </w:p>
        </w:tc>
      </w:tr>
      <w:tr w:rsidR="00920EBD" w:rsidRPr="00E50B28" w14:paraId="43CA32DC" w14:textId="77777777" w:rsidTr="008F1DE1">
        <w:trPr>
          <w:trHeight w:val="388"/>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0CECE" w:themeFill="background2" w:themeFillShade="E6"/>
          </w:tcPr>
          <w:p w14:paraId="764DD84D" w14:textId="77777777" w:rsidR="00920EBD" w:rsidRPr="00E50B28" w:rsidRDefault="00920EBD" w:rsidP="00566D05">
            <w:pPr>
              <w:pStyle w:val="Sinespaciado"/>
              <w:jc w:val="center"/>
              <w:rPr>
                <w:rFonts w:ascii="Arial Nova Light" w:hAnsi="Arial Nova Light" w:cs="Arial"/>
                <w:sz w:val="20"/>
                <w:szCs w:val="20"/>
              </w:rPr>
            </w:pPr>
            <w:r w:rsidRPr="00E50B28">
              <w:rPr>
                <w:rFonts w:ascii="Arial Nova Light" w:hAnsi="Arial Nova Light" w:cs="Arial"/>
                <w:sz w:val="20"/>
                <w:szCs w:val="20"/>
              </w:rPr>
              <w:t>1.</w:t>
            </w:r>
          </w:p>
        </w:tc>
        <w:tc>
          <w:tcPr>
            <w:tcW w:w="1991" w:type="pct"/>
          </w:tcPr>
          <w:p w14:paraId="236FF06B" w14:textId="77777777" w:rsidR="00920EBD" w:rsidRPr="00E50B28" w:rsidRDefault="00920EBD" w:rsidP="00566D05">
            <w:pPr>
              <w:pStyle w:val="Sinespaciad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TEEA-JDC-036/2021</w:t>
            </w:r>
          </w:p>
        </w:tc>
        <w:tc>
          <w:tcPr>
            <w:tcW w:w="2490" w:type="pct"/>
            <w:shd w:val="clear" w:color="auto" w:fill="D0CECE" w:themeFill="background2" w:themeFillShade="E6"/>
          </w:tcPr>
          <w:p w14:paraId="186708D3" w14:textId="77777777" w:rsidR="00920EBD" w:rsidRPr="00E50B28" w:rsidRDefault="00920EBD" w:rsidP="00566D05">
            <w:pPr>
              <w:pStyle w:val="Sinespaciad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Omar Alejandro Morales López</w:t>
            </w:r>
          </w:p>
        </w:tc>
      </w:tr>
      <w:tr w:rsidR="00920EBD" w:rsidRPr="00E50B28" w14:paraId="3F7F6FD9" w14:textId="77777777" w:rsidTr="008F1DE1">
        <w:trPr>
          <w:trHeight w:val="30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0CECE" w:themeFill="background2" w:themeFillShade="E6"/>
          </w:tcPr>
          <w:p w14:paraId="3F0E0235" w14:textId="77777777" w:rsidR="00920EBD" w:rsidRPr="00E50B28" w:rsidRDefault="00920EBD" w:rsidP="00566D05">
            <w:pPr>
              <w:pStyle w:val="Sinespaciado"/>
              <w:jc w:val="center"/>
              <w:rPr>
                <w:rFonts w:ascii="Arial Nova Light" w:hAnsi="Arial Nova Light" w:cs="Arial"/>
                <w:sz w:val="20"/>
                <w:szCs w:val="20"/>
              </w:rPr>
            </w:pPr>
            <w:r w:rsidRPr="00E50B28">
              <w:rPr>
                <w:rFonts w:ascii="Arial Nova Light" w:hAnsi="Arial Nova Light" w:cs="Arial"/>
                <w:sz w:val="20"/>
                <w:szCs w:val="20"/>
              </w:rPr>
              <w:t>2.</w:t>
            </w:r>
          </w:p>
        </w:tc>
        <w:tc>
          <w:tcPr>
            <w:tcW w:w="1991" w:type="pct"/>
          </w:tcPr>
          <w:p w14:paraId="17776E64" w14:textId="77777777" w:rsidR="00920EBD" w:rsidRPr="00E50B28" w:rsidRDefault="00920EBD" w:rsidP="00566D05">
            <w:pPr>
              <w:pStyle w:val="Sinespaciad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TEEA-JDC-037/2021</w:t>
            </w:r>
          </w:p>
        </w:tc>
        <w:tc>
          <w:tcPr>
            <w:tcW w:w="2490" w:type="pct"/>
            <w:shd w:val="clear" w:color="auto" w:fill="D0CECE" w:themeFill="background2" w:themeFillShade="E6"/>
          </w:tcPr>
          <w:p w14:paraId="5BD2C293" w14:textId="77777777" w:rsidR="00920EBD" w:rsidRPr="00E50B28" w:rsidRDefault="00920EBD" w:rsidP="00566D05">
            <w:pPr>
              <w:pStyle w:val="Sinespaciad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Octavio Morales López.</w:t>
            </w:r>
          </w:p>
        </w:tc>
      </w:tr>
      <w:tr w:rsidR="00920EBD" w:rsidRPr="00E50B28" w14:paraId="2A8B18DE" w14:textId="77777777" w:rsidTr="008F1DE1">
        <w:trPr>
          <w:trHeight w:val="30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0CECE" w:themeFill="background2" w:themeFillShade="E6"/>
          </w:tcPr>
          <w:p w14:paraId="16F2A7A2" w14:textId="77777777" w:rsidR="00920EBD" w:rsidRPr="00E50B28" w:rsidRDefault="00920EBD" w:rsidP="00566D05">
            <w:pPr>
              <w:pStyle w:val="Sinespaciado"/>
              <w:jc w:val="center"/>
              <w:rPr>
                <w:rFonts w:ascii="Arial Nova Light" w:hAnsi="Arial Nova Light" w:cs="Arial"/>
                <w:sz w:val="20"/>
                <w:szCs w:val="20"/>
              </w:rPr>
            </w:pPr>
            <w:r w:rsidRPr="00E50B28">
              <w:rPr>
                <w:rFonts w:ascii="Arial Nova Light" w:hAnsi="Arial Nova Light" w:cs="Arial"/>
                <w:sz w:val="20"/>
                <w:szCs w:val="20"/>
              </w:rPr>
              <w:t>3.</w:t>
            </w:r>
          </w:p>
        </w:tc>
        <w:tc>
          <w:tcPr>
            <w:tcW w:w="1991" w:type="pct"/>
          </w:tcPr>
          <w:p w14:paraId="7615B67C" w14:textId="77777777" w:rsidR="00920EBD" w:rsidRPr="00E50B28" w:rsidRDefault="00920EBD" w:rsidP="00566D05">
            <w:pPr>
              <w:pStyle w:val="Sinespaciad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TEEA-JDC-038/2021</w:t>
            </w:r>
          </w:p>
        </w:tc>
        <w:tc>
          <w:tcPr>
            <w:tcW w:w="2490" w:type="pct"/>
            <w:shd w:val="clear" w:color="auto" w:fill="D0CECE" w:themeFill="background2" w:themeFillShade="E6"/>
          </w:tcPr>
          <w:p w14:paraId="3A069B93" w14:textId="77777777" w:rsidR="00920EBD" w:rsidRPr="00E50B28" w:rsidRDefault="00920EBD" w:rsidP="00566D05">
            <w:pPr>
              <w:pStyle w:val="Sinespaciad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Marco Antonio Martínez Proa.</w:t>
            </w:r>
          </w:p>
        </w:tc>
      </w:tr>
      <w:tr w:rsidR="00920EBD" w:rsidRPr="00E50B28" w14:paraId="3F192830" w14:textId="77777777" w:rsidTr="008F1DE1">
        <w:trPr>
          <w:trHeight w:val="30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0CECE" w:themeFill="background2" w:themeFillShade="E6"/>
          </w:tcPr>
          <w:p w14:paraId="3545B48C" w14:textId="77777777" w:rsidR="00920EBD" w:rsidRPr="00E50B28" w:rsidRDefault="00920EBD" w:rsidP="00566D05">
            <w:pPr>
              <w:pStyle w:val="Sinespaciado"/>
              <w:jc w:val="center"/>
              <w:rPr>
                <w:rFonts w:ascii="Arial Nova Light" w:hAnsi="Arial Nova Light" w:cs="Arial"/>
                <w:sz w:val="20"/>
                <w:szCs w:val="20"/>
              </w:rPr>
            </w:pPr>
            <w:r w:rsidRPr="00E50B28">
              <w:rPr>
                <w:rFonts w:ascii="Arial Nova Light" w:hAnsi="Arial Nova Light" w:cs="Arial"/>
                <w:sz w:val="20"/>
                <w:szCs w:val="20"/>
              </w:rPr>
              <w:t>4.</w:t>
            </w:r>
          </w:p>
        </w:tc>
        <w:tc>
          <w:tcPr>
            <w:tcW w:w="1991" w:type="pct"/>
          </w:tcPr>
          <w:p w14:paraId="4E2C25AB" w14:textId="77777777" w:rsidR="00920EBD" w:rsidRPr="00E50B28" w:rsidRDefault="00920EBD" w:rsidP="00566D05">
            <w:pPr>
              <w:pStyle w:val="Sinespaciad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TEEA-JDC-039/2021</w:t>
            </w:r>
          </w:p>
        </w:tc>
        <w:tc>
          <w:tcPr>
            <w:tcW w:w="2490" w:type="pct"/>
            <w:shd w:val="clear" w:color="auto" w:fill="D0CECE" w:themeFill="background2" w:themeFillShade="E6"/>
          </w:tcPr>
          <w:p w14:paraId="0EADDD8D" w14:textId="77777777" w:rsidR="00920EBD" w:rsidRPr="00E50B28" w:rsidRDefault="00920EBD" w:rsidP="00566D05">
            <w:pPr>
              <w:pStyle w:val="Sinespaciad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Isabel Sotomayor Barrionuevo.</w:t>
            </w:r>
          </w:p>
        </w:tc>
      </w:tr>
      <w:tr w:rsidR="00920EBD" w:rsidRPr="00E50B28" w14:paraId="369E5A7F" w14:textId="77777777" w:rsidTr="008F1DE1">
        <w:trPr>
          <w:trHeight w:val="30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0CECE" w:themeFill="background2" w:themeFillShade="E6"/>
          </w:tcPr>
          <w:p w14:paraId="43279B98" w14:textId="77777777" w:rsidR="00920EBD" w:rsidRPr="00E50B28" w:rsidRDefault="00920EBD" w:rsidP="00566D05">
            <w:pPr>
              <w:pStyle w:val="Sinespaciado"/>
              <w:jc w:val="center"/>
              <w:rPr>
                <w:rFonts w:ascii="Arial Nova Light" w:hAnsi="Arial Nova Light" w:cs="Arial"/>
                <w:sz w:val="20"/>
                <w:szCs w:val="20"/>
              </w:rPr>
            </w:pPr>
            <w:r w:rsidRPr="00E50B28">
              <w:rPr>
                <w:rFonts w:ascii="Arial Nova Light" w:hAnsi="Arial Nova Light" w:cs="Arial"/>
                <w:sz w:val="20"/>
                <w:szCs w:val="20"/>
              </w:rPr>
              <w:t>5.</w:t>
            </w:r>
          </w:p>
        </w:tc>
        <w:tc>
          <w:tcPr>
            <w:tcW w:w="1991" w:type="pct"/>
          </w:tcPr>
          <w:p w14:paraId="6188EE1C" w14:textId="77777777" w:rsidR="00920EBD" w:rsidRPr="00E50B28" w:rsidRDefault="00920EBD" w:rsidP="00566D05">
            <w:pPr>
              <w:pStyle w:val="Sinespaciad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TEEA-JDC-040/2021</w:t>
            </w:r>
          </w:p>
        </w:tc>
        <w:tc>
          <w:tcPr>
            <w:tcW w:w="2490" w:type="pct"/>
            <w:shd w:val="clear" w:color="auto" w:fill="D0CECE" w:themeFill="background2" w:themeFillShade="E6"/>
          </w:tcPr>
          <w:p w14:paraId="5D23847B" w14:textId="77777777" w:rsidR="00920EBD" w:rsidRPr="00E50B28" w:rsidRDefault="00920EBD" w:rsidP="00566D05">
            <w:pPr>
              <w:pStyle w:val="Sinespaciad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Alejandro Barbosa Loreto.</w:t>
            </w:r>
          </w:p>
        </w:tc>
      </w:tr>
      <w:tr w:rsidR="00920EBD" w:rsidRPr="00E50B28" w14:paraId="20F10591" w14:textId="77777777" w:rsidTr="008F1DE1">
        <w:trPr>
          <w:trHeight w:val="30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0CECE" w:themeFill="background2" w:themeFillShade="E6"/>
          </w:tcPr>
          <w:p w14:paraId="74027E9E" w14:textId="77777777" w:rsidR="00920EBD" w:rsidRPr="00E50B28" w:rsidRDefault="00920EBD" w:rsidP="00566D05">
            <w:pPr>
              <w:pStyle w:val="Sinespaciado"/>
              <w:jc w:val="center"/>
              <w:rPr>
                <w:rFonts w:ascii="Arial Nova Light" w:hAnsi="Arial Nova Light" w:cs="Arial"/>
                <w:sz w:val="20"/>
                <w:szCs w:val="20"/>
              </w:rPr>
            </w:pPr>
            <w:r w:rsidRPr="00E50B28">
              <w:rPr>
                <w:rFonts w:ascii="Arial Nova Light" w:hAnsi="Arial Nova Light" w:cs="Arial"/>
                <w:sz w:val="20"/>
                <w:szCs w:val="20"/>
              </w:rPr>
              <w:t>6.</w:t>
            </w:r>
          </w:p>
        </w:tc>
        <w:tc>
          <w:tcPr>
            <w:tcW w:w="1991" w:type="pct"/>
          </w:tcPr>
          <w:p w14:paraId="1EC0745A" w14:textId="77777777" w:rsidR="00920EBD" w:rsidRPr="00E50B28" w:rsidRDefault="00920EBD" w:rsidP="00566D05">
            <w:pPr>
              <w:pStyle w:val="Sinespaciad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TEEA-JDC-041/2021</w:t>
            </w:r>
          </w:p>
        </w:tc>
        <w:tc>
          <w:tcPr>
            <w:tcW w:w="2490" w:type="pct"/>
            <w:shd w:val="clear" w:color="auto" w:fill="D0CECE" w:themeFill="background2" w:themeFillShade="E6"/>
          </w:tcPr>
          <w:p w14:paraId="583C6B66" w14:textId="77777777" w:rsidR="00920EBD" w:rsidRPr="00E50B28" w:rsidRDefault="00920EBD" w:rsidP="00566D05">
            <w:pPr>
              <w:pStyle w:val="Sinespaciad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Elvira Aguilar López.</w:t>
            </w:r>
          </w:p>
        </w:tc>
      </w:tr>
      <w:tr w:rsidR="00920EBD" w:rsidRPr="00E50B28" w14:paraId="68C336BC" w14:textId="77777777" w:rsidTr="008F1DE1">
        <w:trPr>
          <w:trHeight w:val="301"/>
          <w:jc w:val="center"/>
        </w:trPr>
        <w:tc>
          <w:tcPr>
            <w:cnfStyle w:val="001000000000" w:firstRow="0" w:lastRow="0" w:firstColumn="1" w:lastColumn="0" w:oddVBand="0" w:evenVBand="0" w:oddHBand="0" w:evenHBand="0" w:firstRowFirstColumn="0" w:firstRowLastColumn="0" w:lastRowFirstColumn="0" w:lastRowLastColumn="0"/>
            <w:tcW w:w="518" w:type="pct"/>
            <w:shd w:val="clear" w:color="auto" w:fill="D0CECE" w:themeFill="background2" w:themeFillShade="E6"/>
          </w:tcPr>
          <w:p w14:paraId="596F5986" w14:textId="77777777" w:rsidR="00920EBD" w:rsidRPr="00E50B28" w:rsidRDefault="00920EBD" w:rsidP="00566D05">
            <w:pPr>
              <w:pStyle w:val="Sinespaciado"/>
              <w:jc w:val="center"/>
              <w:rPr>
                <w:rFonts w:ascii="Arial Nova Light" w:hAnsi="Arial Nova Light" w:cs="Arial"/>
                <w:sz w:val="20"/>
                <w:szCs w:val="20"/>
              </w:rPr>
            </w:pPr>
            <w:r w:rsidRPr="00E50B28">
              <w:rPr>
                <w:rFonts w:ascii="Arial Nova Light" w:hAnsi="Arial Nova Light" w:cs="Arial"/>
                <w:sz w:val="20"/>
                <w:szCs w:val="20"/>
              </w:rPr>
              <w:t>7.</w:t>
            </w:r>
          </w:p>
        </w:tc>
        <w:tc>
          <w:tcPr>
            <w:tcW w:w="1991" w:type="pct"/>
          </w:tcPr>
          <w:p w14:paraId="1FCA5F52" w14:textId="77777777" w:rsidR="00920EBD" w:rsidRPr="00E50B28" w:rsidRDefault="00920EBD" w:rsidP="00566D05">
            <w:pPr>
              <w:pStyle w:val="Sinespaciad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TEEA-JDC-042/2021</w:t>
            </w:r>
          </w:p>
        </w:tc>
        <w:tc>
          <w:tcPr>
            <w:tcW w:w="2490" w:type="pct"/>
            <w:shd w:val="clear" w:color="auto" w:fill="D0CECE" w:themeFill="background2" w:themeFillShade="E6"/>
          </w:tcPr>
          <w:p w14:paraId="31B78702" w14:textId="77777777" w:rsidR="00920EBD" w:rsidRPr="00E50B28" w:rsidRDefault="00920EBD" w:rsidP="00566D05">
            <w:pPr>
              <w:pStyle w:val="Sinespaciad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E50B28">
              <w:rPr>
                <w:rFonts w:ascii="Arial Nova Light" w:hAnsi="Arial Nova Light" w:cs="Arial"/>
                <w:sz w:val="20"/>
                <w:szCs w:val="20"/>
              </w:rPr>
              <w:t>Omar Alejandro Morales López</w:t>
            </w:r>
          </w:p>
        </w:tc>
      </w:tr>
      <w:bookmarkEnd w:id="1"/>
      <w:bookmarkEnd w:id="2"/>
    </w:tbl>
    <w:p w14:paraId="0884F55B" w14:textId="77777777" w:rsidR="002F27E3" w:rsidRPr="00126723" w:rsidRDefault="002F27E3" w:rsidP="002F27E3">
      <w:pPr>
        <w:pStyle w:val="Prrafodelista"/>
        <w:pBdr>
          <w:top w:val="nil"/>
          <w:left w:val="nil"/>
          <w:bottom w:val="nil"/>
          <w:right w:val="nil"/>
          <w:between w:val="nil"/>
        </w:pBdr>
        <w:tabs>
          <w:tab w:val="left" w:pos="0"/>
        </w:tabs>
        <w:spacing w:after="0" w:line="360" w:lineRule="auto"/>
        <w:ind w:left="0"/>
        <w:jc w:val="both"/>
        <w:rPr>
          <w:rFonts w:ascii="Arial Nova Light" w:hAnsi="Arial Nova Light"/>
          <w:b/>
          <w:bCs/>
          <w:sz w:val="24"/>
          <w:szCs w:val="24"/>
        </w:rPr>
      </w:pPr>
    </w:p>
    <w:p w14:paraId="3B64C134" w14:textId="708C484A" w:rsidR="00787551" w:rsidRPr="00126723" w:rsidRDefault="008B7283"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Light" w:hAnsi="Arial Nova Light"/>
          <w:sz w:val="24"/>
          <w:szCs w:val="24"/>
        </w:rPr>
      </w:pPr>
      <w:r w:rsidRPr="00C10876">
        <w:rPr>
          <w:rFonts w:ascii="Arial Nova Light" w:hAnsi="Arial Nova Light"/>
          <w:b/>
          <w:bCs/>
          <w:sz w:val="24"/>
          <w:szCs w:val="24"/>
        </w:rPr>
        <w:t xml:space="preserve">Reencauzamiento </w:t>
      </w:r>
      <w:r>
        <w:rPr>
          <w:rFonts w:ascii="Arial Nova Light" w:hAnsi="Arial Nova Light"/>
          <w:b/>
          <w:bCs/>
          <w:sz w:val="24"/>
          <w:szCs w:val="24"/>
        </w:rPr>
        <w:t xml:space="preserve">a la </w:t>
      </w:r>
      <w:r w:rsidRPr="00C10876">
        <w:rPr>
          <w:rFonts w:ascii="Arial Nova Light" w:hAnsi="Arial Nova Light"/>
          <w:b/>
          <w:bCs/>
          <w:sz w:val="24"/>
          <w:szCs w:val="24"/>
        </w:rPr>
        <w:t>CNHJ</w:t>
      </w:r>
      <w:r w:rsidR="00C10876" w:rsidRPr="00C10876">
        <w:rPr>
          <w:rFonts w:ascii="Arial Nova Light" w:hAnsi="Arial Nova Light"/>
          <w:b/>
          <w:bCs/>
          <w:sz w:val="24"/>
          <w:szCs w:val="24"/>
        </w:rPr>
        <w:t>.</w:t>
      </w:r>
      <w:r w:rsidR="00C10876">
        <w:rPr>
          <w:rFonts w:ascii="Arial Nova Light" w:hAnsi="Arial Nova Light"/>
          <w:sz w:val="24"/>
          <w:szCs w:val="24"/>
        </w:rPr>
        <w:t xml:space="preserve"> El día cinco de abril, el pleno de este Tribunal reencauzó las demandas a la CNHJ, por no haber agotado la instancia partidista. </w:t>
      </w:r>
    </w:p>
    <w:p w14:paraId="375C9DD7" w14:textId="77777777" w:rsidR="00787551" w:rsidRPr="00126723" w:rsidRDefault="00787551" w:rsidP="00787551">
      <w:pPr>
        <w:pStyle w:val="Prrafodelista"/>
        <w:pBdr>
          <w:top w:val="nil"/>
          <w:left w:val="nil"/>
          <w:bottom w:val="nil"/>
          <w:right w:val="nil"/>
          <w:between w:val="nil"/>
        </w:pBdr>
        <w:tabs>
          <w:tab w:val="left" w:pos="567"/>
        </w:tabs>
        <w:spacing w:after="0" w:line="360" w:lineRule="auto"/>
        <w:ind w:left="0" w:right="36"/>
        <w:jc w:val="both"/>
        <w:rPr>
          <w:rFonts w:ascii="Arial Nova Light" w:hAnsi="Arial Nova Light"/>
          <w:sz w:val="24"/>
          <w:szCs w:val="24"/>
        </w:rPr>
      </w:pPr>
    </w:p>
    <w:p w14:paraId="61CE9F79" w14:textId="51CF9D30" w:rsidR="00787551" w:rsidRPr="00126723" w:rsidRDefault="008B7283"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Light" w:hAnsi="Arial Nova Light"/>
          <w:sz w:val="24"/>
          <w:szCs w:val="24"/>
        </w:rPr>
      </w:pPr>
      <w:r w:rsidRPr="00C10876">
        <w:rPr>
          <w:rFonts w:ascii="Arial Nova Light" w:hAnsi="Arial Nova Light"/>
          <w:b/>
          <w:bCs/>
          <w:sz w:val="24"/>
          <w:szCs w:val="24"/>
        </w:rPr>
        <w:t xml:space="preserve">Acuerdo </w:t>
      </w:r>
      <w:r>
        <w:rPr>
          <w:rFonts w:ascii="Arial Nova Light" w:hAnsi="Arial Nova Light"/>
          <w:b/>
          <w:bCs/>
          <w:sz w:val="24"/>
          <w:szCs w:val="24"/>
        </w:rPr>
        <w:t>de</w:t>
      </w:r>
      <w:r w:rsidRPr="00C10876">
        <w:rPr>
          <w:rFonts w:ascii="Arial Nova Light" w:hAnsi="Arial Nova Light"/>
          <w:b/>
          <w:bCs/>
          <w:sz w:val="24"/>
          <w:szCs w:val="24"/>
        </w:rPr>
        <w:t xml:space="preserve"> Improcedencia Dictado </w:t>
      </w:r>
      <w:r>
        <w:rPr>
          <w:rFonts w:ascii="Arial Nova Light" w:hAnsi="Arial Nova Light"/>
          <w:b/>
          <w:bCs/>
          <w:sz w:val="24"/>
          <w:szCs w:val="24"/>
        </w:rPr>
        <w:t>por</w:t>
      </w:r>
      <w:r w:rsidRPr="00C10876">
        <w:rPr>
          <w:rFonts w:ascii="Arial Nova Light" w:hAnsi="Arial Nova Light"/>
          <w:b/>
          <w:bCs/>
          <w:sz w:val="24"/>
          <w:szCs w:val="24"/>
        </w:rPr>
        <w:t xml:space="preserve"> </w:t>
      </w:r>
      <w:r>
        <w:rPr>
          <w:rFonts w:ascii="Arial Nova Light" w:hAnsi="Arial Nova Light"/>
          <w:b/>
          <w:bCs/>
          <w:sz w:val="24"/>
          <w:szCs w:val="24"/>
        </w:rPr>
        <w:t>l</w:t>
      </w:r>
      <w:r w:rsidRPr="00C10876">
        <w:rPr>
          <w:rFonts w:ascii="Arial Nova Light" w:hAnsi="Arial Nova Light"/>
          <w:b/>
          <w:bCs/>
          <w:sz w:val="24"/>
          <w:szCs w:val="24"/>
        </w:rPr>
        <w:t>a C</w:t>
      </w:r>
      <w:r>
        <w:rPr>
          <w:rFonts w:ascii="Arial Nova Light" w:hAnsi="Arial Nova Light"/>
          <w:b/>
          <w:bCs/>
          <w:sz w:val="24"/>
          <w:szCs w:val="24"/>
        </w:rPr>
        <w:t>NHJ</w:t>
      </w:r>
      <w:r w:rsidR="00C10876">
        <w:rPr>
          <w:rFonts w:ascii="Arial Nova Light" w:hAnsi="Arial Nova Light"/>
          <w:sz w:val="24"/>
          <w:szCs w:val="24"/>
        </w:rPr>
        <w:t xml:space="preserve">. </w:t>
      </w:r>
      <w:r w:rsidR="00343C0E">
        <w:rPr>
          <w:rFonts w:ascii="Arial Nova Light" w:hAnsi="Arial Nova Light"/>
          <w:sz w:val="24"/>
          <w:szCs w:val="24"/>
        </w:rPr>
        <w:t>En esa secuencia</w:t>
      </w:r>
      <w:r>
        <w:rPr>
          <w:rFonts w:ascii="Arial Nova Light" w:hAnsi="Arial Nova Light"/>
          <w:sz w:val="24"/>
          <w:szCs w:val="24"/>
        </w:rPr>
        <w:t>,</w:t>
      </w:r>
      <w:r w:rsidR="00C10876">
        <w:rPr>
          <w:rFonts w:ascii="Arial Nova Light" w:hAnsi="Arial Nova Light"/>
          <w:sz w:val="24"/>
          <w:szCs w:val="24"/>
        </w:rPr>
        <w:t xml:space="preserve"> la CNHJ dictó dentro del expediente </w:t>
      </w:r>
      <w:r w:rsidR="00C10876" w:rsidRPr="00126723">
        <w:rPr>
          <w:rFonts w:ascii="Arial Nova Light" w:hAnsi="Arial Nova Light"/>
          <w:sz w:val="24"/>
          <w:szCs w:val="24"/>
        </w:rPr>
        <w:t>CNHJ-AGS-817/2021</w:t>
      </w:r>
      <w:r w:rsidR="00C10876">
        <w:rPr>
          <w:rFonts w:ascii="Arial Nova Light" w:hAnsi="Arial Nova Light"/>
          <w:sz w:val="24"/>
          <w:szCs w:val="24"/>
        </w:rPr>
        <w:t>, el acuerdo de improcedencia</w:t>
      </w:r>
      <w:r w:rsidR="008C4E2A">
        <w:rPr>
          <w:rFonts w:ascii="Arial Nova Light" w:hAnsi="Arial Nova Light"/>
          <w:sz w:val="24"/>
          <w:szCs w:val="24"/>
        </w:rPr>
        <w:t xml:space="preserve"> y desechamiento por extemporaneidad el pasado doce de abril. </w:t>
      </w:r>
    </w:p>
    <w:p w14:paraId="06262472" w14:textId="77777777" w:rsidR="00787551" w:rsidRPr="00126723" w:rsidRDefault="00787551" w:rsidP="00787551">
      <w:pPr>
        <w:pStyle w:val="Prrafodelista"/>
        <w:pBdr>
          <w:top w:val="nil"/>
          <w:left w:val="nil"/>
          <w:bottom w:val="nil"/>
          <w:right w:val="nil"/>
          <w:between w:val="nil"/>
        </w:pBdr>
        <w:tabs>
          <w:tab w:val="left" w:pos="567"/>
        </w:tabs>
        <w:spacing w:after="0" w:line="360" w:lineRule="auto"/>
        <w:ind w:left="0" w:right="36"/>
        <w:jc w:val="both"/>
        <w:rPr>
          <w:rFonts w:ascii="Arial Nova Light" w:hAnsi="Arial Nova Light"/>
          <w:sz w:val="24"/>
          <w:szCs w:val="24"/>
        </w:rPr>
      </w:pPr>
    </w:p>
    <w:p w14:paraId="5C7D7335" w14:textId="18A34BFA" w:rsidR="009A54F1" w:rsidRPr="008B7283" w:rsidRDefault="00343C0E"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Light" w:eastAsia="Arial" w:hAnsi="Arial Nova Light"/>
          <w:spacing w:val="1"/>
          <w:sz w:val="24"/>
          <w:szCs w:val="24"/>
        </w:rPr>
      </w:pPr>
      <w:r w:rsidRPr="00126723">
        <w:rPr>
          <w:rFonts w:ascii="Arial Nova Light" w:hAnsi="Arial Nova Light"/>
          <w:b/>
          <w:bCs/>
          <w:sz w:val="24"/>
          <w:szCs w:val="24"/>
        </w:rPr>
        <w:t xml:space="preserve">Presentación </w:t>
      </w:r>
      <w:r>
        <w:rPr>
          <w:rFonts w:ascii="Arial Nova Light" w:hAnsi="Arial Nova Light"/>
          <w:b/>
          <w:bCs/>
          <w:sz w:val="24"/>
          <w:szCs w:val="24"/>
        </w:rPr>
        <w:t>de</w:t>
      </w:r>
      <w:r w:rsidRPr="00126723">
        <w:rPr>
          <w:rFonts w:ascii="Arial Nova Light" w:hAnsi="Arial Nova Light"/>
          <w:b/>
          <w:bCs/>
          <w:sz w:val="24"/>
          <w:szCs w:val="24"/>
        </w:rPr>
        <w:t xml:space="preserve"> Juicios Ciudadanos Locales</w:t>
      </w:r>
      <w:r w:rsidR="008B7283" w:rsidRPr="00126723">
        <w:rPr>
          <w:rFonts w:ascii="Arial Nova Light" w:hAnsi="Arial Nova Light"/>
          <w:b/>
          <w:bCs/>
          <w:sz w:val="24"/>
          <w:szCs w:val="24"/>
        </w:rPr>
        <w:t xml:space="preserve">. </w:t>
      </w:r>
      <w:r w:rsidR="008B7283">
        <w:rPr>
          <w:rFonts w:ascii="Arial Nova Light" w:hAnsi="Arial Nova Light"/>
          <w:b/>
          <w:bCs/>
          <w:sz w:val="24"/>
          <w:szCs w:val="24"/>
        </w:rPr>
        <w:t xml:space="preserve"> </w:t>
      </w:r>
      <w:r w:rsidR="008B7283">
        <w:rPr>
          <w:rFonts w:ascii="Arial Nova Light" w:hAnsi="Arial Nova Light"/>
          <w:sz w:val="24"/>
          <w:szCs w:val="24"/>
        </w:rPr>
        <w:t>Los días quince y dieciséis de abril, i</w:t>
      </w:r>
      <w:r w:rsidR="008C4E2A">
        <w:rPr>
          <w:rFonts w:ascii="Arial Nova Light" w:hAnsi="Arial Nova Light"/>
          <w:sz w:val="24"/>
          <w:szCs w:val="24"/>
        </w:rPr>
        <w:t xml:space="preserve">nconformes con lo dictado por la CNHJ, los promoventes acudieron ante este Tribunal a efecto </w:t>
      </w:r>
      <w:r w:rsidR="008C4E2A">
        <w:rPr>
          <w:rFonts w:ascii="Arial Nova Light" w:hAnsi="Arial Nova Light"/>
          <w:sz w:val="24"/>
          <w:szCs w:val="24"/>
        </w:rPr>
        <w:lastRenderedPageBreak/>
        <w:t>de presentar sendos Juicios para la Protección de los Derechos Político-Electorales de</w:t>
      </w:r>
      <w:r w:rsidR="008B7283">
        <w:rPr>
          <w:rFonts w:ascii="Arial Nova Light" w:hAnsi="Arial Nova Light"/>
          <w:sz w:val="24"/>
          <w:szCs w:val="24"/>
        </w:rPr>
        <w:t xml:space="preserve"> </w:t>
      </w:r>
      <w:r w:rsidR="008C4E2A">
        <w:rPr>
          <w:rFonts w:ascii="Arial Nova Light" w:hAnsi="Arial Nova Light"/>
          <w:sz w:val="24"/>
          <w:szCs w:val="24"/>
        </w:rPr>
        <w:t>l</w:t>
      </w:r>
      <w:r w:rsidR="008B7283">
        <w:rPr>
          <w:rFonts w:ascii="Arial Nova Light" w:hAnsi="Arial Nova Light"/>
          <w:sz w:val="24"/>
          <w:szCs w:val="24"/>
        </w:rPr>
        <w:t>os</w:t>
      </w:r>
      <w:r w:rsidR="008C4E2A">
        <w:rPr>
          <w:rFonts w:ascii="Arial Nova Light" w:hAnsi="Arial Nova Light"/>
          <w:sz w:val="24"/>
          <w:szCs w:val="24"/>
        </w:rPr>
        <w:t xml:space="preserve"> Ciudadano</w:t>
      </w:r>
      <w:r w:rsidR="008B7283">
        <w:rPr>
          <w:rFonts w:ascii="Arial Nova Light" w:hAnsi="Arial Nova Light"/>
          <w:sz w:val="24"/>
          <w:szCs w:val="24"/>
        </w:rPr>
        <w:t xml:space="preserve">s. </w:t>
      </w:r>
    </w:p>
    <w:p w14:paraId="3AC16286" w14:textId="77777777" w:rsidR="008B7283" w:rsidRPr="008B7283" w:rsidRDefault="008B7283" w:rsidP="008B7283">
      <w:pPr>
        <w:pStyle w:val="Prrafodelista"/>
        <w:rPr>
          <w:rFonts w:ascii="Arial Nova Light" w:eastAsia="Arial" w:hAnsi="Arial Nova Light"/>
          <w:spacing w:val="1"/>
          <w:sz w:val="24"/>
          <w:szCs w:val="24"/>
        </w:rPr>
      </w:pPr>
    </w:p>
    <w:p w14:paraId="1B95323E" w14:textId="77777777" w:rsidR="00AD361F" w:rsidRPr="00126723" w:rsidRDefault="00AD361F" w:rsidP="00AD361F">
      <w:pPr>
        <w:pStyle w:val="Estilo"/>
        <w:numPr>
          <w:ilvl w:val="1"/>
          <w:numId w:val="34"/>
        </w:numPr>
        <w:spacing w:line="360" w:lineRule="auto"/>
        <w:ind w:left="0" w:firstLine="0"/>
        <w:rPr>
          <w:rFonts w:ascii="Arial Nova Light" w:hAnsi="Arial Nova Light"/>
          <w:szCs w:val="24"/>
        </w:rPr>
      </w:pPr>
      <w:r w:rsidRPr="00126723">
        <w:rPr>
          <w:rFonts w:ascii="Arial Nova Light" w:hAnsi="Arial Nova Light"/>
          <w:b/>
          <w:szCs w:val="24"/>
        </w:rPr>
        <w:t>Turno</w:t>
      </w:r>
      <w:r w:rsidRPr="00126723">
        <w:rPr>
          <w:rFonts w:ascii="Arial Nova Light" w:hAnsi="Arial Nova Light"/>
          <w:bCs/>
          <w:szCs w:val="24"/>
        </w:rPr>
        <w:t>.</w:t>
      </w:r>
      <w:r w:rsidRPr="00126723">
        <w:rPr>
          <w:rFonts w:ascii="Arial Nova Light" w:hAnsi="Arial Nova Light"/>
          <w:szCs w:val="24"/>
        </w:rPr>
        <w:t xml:space="preserve"> Por acuerdo de presidencia de </w:t>
      </w:r>
      <w:r>
        <w:rPr>
          <w:rFonts w:ascii="Arial Nova Light" w:hAnsi="Arial Nova Light"/>
          <w:szCs w:val="24"/>
        </w:rPr>
        <w:t>diecisiete</w:t>
      </w:r>
      <w:r w:rsidRPr="00126723">
        <w:rPr>
          <w:rFonts w:ascii="Arial Nova Light" w:hAnsi="Arial Nova Light"/>
          <w:szCs w:val="24"/>
        </w:rPr>
        <w:t xml:space="preserve"> de abril, les fueron asignados los números de expedientes </w:t>
      </w:r>
      <w:r w:rsidRPr="00126723">
        <w:rPr>
          <w:rFonts w:ascii="Arial Nova Light" w:hAnsi="Arial Nova Light"/>
          <w:bCs/>
          <w:szCs w:val="24"/>
        </w:rPr>
        <w:t>TEEA-JDC-105/2021, TEEA-JDC-106/2021</w:t>
      </w:r>
      <w:r w:rsidRPr="00126723">
        <w:rPr>
          <w:rFonts w:ascii="Arial Nova Light" w:hAnsi="Arial Nova Light"/>
          <w:szCs w:val="24"/>
        </w:rPr>
        <w:t xml:space="preserve">, </w:t>
      </w:r>
      <w:r w:rsidRPr="00126723">
        <w:rPr>
          <w:rFonts w:ascii="Arial Nova Light" w:hAnsi="Arial Nova Light"/>
          <w:bCs/>
          <w:szCs w:val="24"/>
        </w:rPr>
        <w:t>TEEA-JDC-107/2021</w:t>
      </w:r>
      <w:r w:rsidRPr="00126723">
        <w:rPr>
          <w:rFonts w:ascii="Arial Nova Light" w:hAnsi="Arial Nova Light"/>
          <w:szCs w:val="24"/>
        </w:rPr>
        <w:t xml:space="preserve">, </w:t>
      </w:r>
      <w:r w:rsidRPr="00126723">
        <w:rPr>
          <w:rFonts w:ascii="Arial Nova Light" w:hAnsi="Arial Nova Light"/>
          <w:bCs/>
          <w:szCs w:val="24"/>
        </w:rPr>
        <w:t>TEEA-JDC-108/2021</w:t>
      </w:r>
      <w:r w:rsidRPr="00126723">
        <w:rPr>
          <w:rFonts w:ascii="Arial Nova Light" w:hAnsi="Arial Nova Light"/>
          <w:szCs w:val="24"/>
        </w:rPr>
        <w:t xml:space="preserve">, </w:t>
      </w:r>
      <w:r w:rsidRPr="00126723">
        <w:rPr>
          <w:rFonts w:ascii="Arial Nova Light" w:hAnsi="Arial Nova Light"/>
          <w:bCs/>
          <w:szCs w:val="24"/>
        </w:rPr>
        <w:t>TEEA-JDC-109/2021</w:t>
      </w:r>
      <w:r w:rsidRPr="00126723">
        <w:rPr>
          <w:rFonts w:ascii="Arial Nova Light" w:hAnsi="Arial Nova Light"/>
          <w:szCs w:val="24"/>
        </w:rPr>
        <w:t xml:space="preserve"> y </w:t>
      </w:r>
      <w:r w:rsidRPr="00126723">
        <w:rPr>
          <w:rFonts w:ascii="Arial Nova Light" w:hAnsi="Arial Nova Light"/>
          <w:bCs/>
          <w:szCs w:val="24"/>
        </w:rPr>
        <w:t>TEEA-JDC-110/2021</w:t>
      </w:r>
      <w:r w:rsidRPr="00126723">
        <w:rPr>
          <w:rFonts w:ascii="Arial Nova Light" w:hAnsi="Arial Nova Light"/>
          <w:szCs w:val="24"/>
        </w:rPr>
        <w:t xml:space="preserve"> y fueron turnados de a las tres ponencias de este Tribunal de la siguiente manera: </w:t>
      </w:r>
    </w:p>
    <w:tbl>
      <w:tblPr>
        <w:tblStyle w:val="Tablaconcuadrcula1clara"/>
        <w:tblW w:w="0" w:type="auto"/>
        <w:jc w:val="center"/>
        <w:tblLook w:val="04A0" w:firstRow="1" w:lastRow="0" w:firstColumn="1" w:lastColumn="0" w:noHBand="0" w:noVBand="1"/>
      </w:tblPr>
      <w:tblGrid>
        <w:gridCol w:w="2965"/>
        <w:gridCol w:w="2977"/>
        <w:gridCol w:w="2967"/>
      </w:tblGrid>
      <w:tr w:rsidR="00AD361F" w:rsidRPr="00E50B28" w14:paraId="34A31BE5" w14:textId="77777777" w:rsidTr="00E158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45B52527" w14:textId="77777777" w:rsidR="00AD361F" w:rsidRPr="00E50B28" w:rsidRDefault="00AD361F" w:rsidP="00E15818">
            <w:pPr>
              <w:pStyle w:val="Prrafodelista"/>
              <w:ind w:left="0"/>
              <w:jc w:val="center"/>
              <w:rPr>
                <w:rFonts w:ascii="Arial Nova Light" w:hAnsi="Arial Nova Light"/>
                <w:sz w:val="20"/>
                <w:szCs w:val="20"/>
              </w:rPr>
            </w:pPr>
            <w:r w:rsidRPr="00E50B28">
              <w:rPr>
                <w:rFonts w:ascii="Arial Nova Light" w:hAnsi="Arial Nova Light"/>
                <w:sz w:val="20"/>
                <w:szCs w:val="20"/>
              </w:rPr>
              <w:t>Expediente</w:t>
            </w:r>
          </w:p>
        </w:tc>
        <w:tc>
          <w:tcPr>
            <w:tcW w:w="2977" w:type="dxa"/>
          </w:tcPr>
          <w:p w14:paraId="515F1E96" w14:textId="77777777" w:rsidR="00AD361F" w:rsidRPr="00E50B28" w:rsidRDefault="00AD361F" w:rsidP="00E15818">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Promovente</w:t>
            </w:r>
          </w:p>
        </w:tc>
        <w:tc>
          <w:tcPr>
            <w:tcW w:w="2967" w:type="dxa"/>
            <w:shd w:val="clear" w:color="auto" w:fill="D0CECE" w:themeFill="background2" w:themeFillShade="E6"/>
          </w:tcPr>
          <w:p w14:paraId="49253D07" w14:textId="77777777" w:rsidR="00AD361F" w:rsidRPr="00E50B28" w:rsidRDefault="00AD361F" w:rsidP="00E15818">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Ponencia</w:t>
            </w:r>
          </w:p>
        </w:tc>
      </w:tr>
      <w:tr w:rsidR="00AD361F" w:rsidRPr="00E50B28" w14:paraId="54D0CA54" w14:textId="77777777" w:rsidTr="00E1581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7071FEAC" w14:textId="77777777" w:rsidR="00AD361F" w:rsidRPr="00E50B28" w:rsidRDefault="00AD361F" w:rsidP="00E15818">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TEEA-JDC-105/2021 </w:t>
            </w:r>
          </w:p>
        </w:tc>
        <w:tc>
          <w:tcPr>
            <w:tcW w:w="2977" w:type="dxa"/>
          </w:tcPr>
          <w:p w14:paraId="60440E8F"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bCs/>
                <w:sz w:val="20"/>
                <w:szCs w:val="20"/>
              </w:rPr>
              <w:t xml:space="preserve">Octavio Morales López </w:t>
            </w:r>
          </w:p>
        </w:tc>
        <w:tc>
          <w:tcPr>
            <w:tcW w:w="2967" w:type="dxa"/>
            <w:shd w:val="clear" w:color="auto" w:fill="D0CECE" w:themeFill="background2" w:themeFillShade="E6"/>
          </w:tcPr>
          <w:p w14:paraId="2DEF6A61"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Magistrada Claudia Eloisa Díaz de León González</w:t>
            </w:r>
          </w:p>
        </w:tc>
      </w:tr>
      <w:tr w:rsidR="00AD361F" w:rsidRPr="00E50B28" w14:paraId="393E094C" w14:textId="77777777" w:rsidTr="00E1581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68EED01B" w14:textId="77777777" w:rsidR="00AD361F" w:rsidRPr="00E50B28" w:rsidRDefault="00AD361F" w:rsidP="00E15818">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TEEA-JDC-106/2021 </w:t>
            </w:r>
          </w:p>
        </w:tc>
        <w:tc>
          <w:tcPr>
            <w:tcW w:w="2977" w:type="dxa"/>
          </w:tcPr>
          <w:p w14:paraId="2CB2829D"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bCs/>
                <w:sz w:val="20"/>
                <w:szCs w:val="20"/>
              </w:rPr>
              <w:t xml:space="preserve">Marco Antonio Martínez Proa </w:t>
            </w:r>
          </w:p>
        </w:tc>
        <w:tc>
          <w:tcPr>
            <w:tcW w:w="2967" w:type="dxa"/>
            <w:shd w:val="clear" w:color="auto" w:fill="D0CECE" w:themeFill="background2" w:themeFillShade="E6"/>
          </w:tcPr>
          <w:p w14:paraId="57497C9A"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Magistrada Laura Hortensia Llamas Hernández</w:t>
            </w:r>
          </w:p>
        </w:tc>
      </w:tr>
      <w:tr w:rsidR="00AD361F" w:rsidRPr="00E50B28" w14:paraId="1D1B4041" w14:textId="77777777" w:rsidTr="00E1581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1BF76AEC" w14:textId="77777777" w:rsidR="00AD361F" w:rsidRPr="00E50B28" w:rsidRDefault="00AD361F" w:rsidP="00E15818">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TEEA-JDC-107/2021 </w:t>
            </w:r>
          </w:p>
        </w:tc>
        <w:tc>
          <w:tcPr>
            <w:tcW w:w="2977" w:type="dxa"/>
          </w:tcPr>
          <w:p w14:paraId="7DCDB00E"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bCs/>
                <w:sz w:val="20"/>
                <w:szCs w:val="20"/>
              </w:rPr>
              <w:t xml:space="preserve">Isabel Sotomayor Barrientos </w:t>
            </w:r>
          </w:p>
        </w:tc>
        <w:tc>
          <w:tcPr>
            <w:tcW w:w="2967" w:type="dxa"/>
            <w:shd w:val="clear" w:color="auto" w:fill="D0CECE" w:themeFill="background2" w:themeFillShade="E6"/>
          </w:tcPr>
          <w:p w14:paraId="56E7FE7F"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Magistrado Héctor Salvador Hernández Gallegos</w:t>
            </w:r>
          </w:p>
        </w:tc>
      </w:tr>
      <w:tr w:rsidR="00AD361F" w:rsidRPr="00E50B28" w14:paraId="20661B5C" w14:textId="77777777" w:rsidTr="00E1581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397CC997" w14:textId="77777777" w:rsidR="00AD361F" w:rsidRPr="00E50B28" w:rsidRDefault="00AD361F" w:rsidP="00E15818">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TEEA-JDC-108/2021 </w:t>
            </w:r>
          </w:p>
        </w:tc>
        <w:tc>
          <w:tcPr>
            <w:tcW w:w="2977" w:type="dxa"/>
          </w:tcPr>
          <w:p w14:paraId="034E86BE"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bCs/>
                <w:sz w:val="20"/>
                <w:szCs w:val="20"/>
              </w:rPr>
              <w:t xml:space="preserve">Omar Alejandro Morales López </w:t>
            </w:r>
          </w:p>
        </w:tc>
        <w:tc>
          <w:tcPr>
            <w:tcW w:w="2967" w:type="dxa"/>
            <w:shd w:val="clear" w:color="auto" w:fill="D0CECE" w:themeFill="background2" w:themeFillShade="E6"/>
          </w:tcPr>
          <w:p w14:paraId="7693D52D"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Magistrada Claudia Eloisa Díaz de León González</w:t>
            </w:r>
          </w:p>
        </w:tc>
      </w:tr>
      <w:tr w:rsidR="00AD361F" w:rsidRPr="00E50B28" w14:paraId="1BDADD66" w14:textId="77777777" w:rsidTr="00E1581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08345425" w14:textId="77777777" w:rsidR="00AD361F" w:rsidRPr="00E50B28" w:rsidRDefault="00AD361F" w:rsidP="00E15818">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TEEA-JDC-109/2021 </w:t>
            </w:r>
          </w:p>
        </w:tc>
        <w:tc>
          <w:tcPr>
            <w:tcW w:w="2977" w:type="dxa"/>
          </w:tcPr>
          <w:p w14:paraId="5A8CBA00"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bCs/>
                <w:sz w:val="20"/>
                <w:szCs w:val="20"/>
              </w:rPr>
              <w:t>Elvira Aguilar López</w:t>
            </w:r>
          </w:p>
        </w:tc>
        <w:tc>
          <w:tcPr>
            <w:tcW w:w="2967" w:type="dxa"/>
            <w:shd w:val="clear" w:color="auto" w:fill="D0CECE" w:themeFill="background2" w:themeFillShade="E6"/>
          </w:tcPr>
          <w:p w14:paraId="63C8726E"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Magistrada Laura Hortensia Llamas Hernández</w:t>
            </w:r>
          </w:p>
        </w:tc>
      </w:tr>
      <w:tr w:rsidR="00AD361F" w:rsidRPr="00E50B28" w14:paraId="3362AEE4" w14:textId="77777777" w:rsidTr="00E1581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366C5A10" w14:textId="77777777" w:rsidR="00AD361F" w:rsidRPr="00E50B28" w:rsidRDefault="00AD361F" w:rsidP="00E15818">
            <w:pPr>
              <w:pStyle w:val="Prrafodelista"/>
              <w:ind w:left="0"/>
              <w:rPr>
                <w:rFonts w:ascii="Arial Nova Light" w:hAnsi="Arial Nova Light"/>
                <w:b w:val="0"/>
                <w:sz w:val="20"/>
                <w:szCs w:val="20"/>
              </w:rPr>
            </w:pPr>
            <w:r w:rsidRPr="00E50B28">
              <w:rPr>
                <w:rFonts w:ascii="Arial Nova Light" w:hAnsi="Arial Nova Light"/>
                <w:b w:val="0"/>
                <w:sz w:val="20"/>
                <w:szCs w:val="20"/>
              </w:rPr>
              <w:t>TEEA-JDC-110/2021</w:t>
            </w:r>
          </w:p>
        </w:tc>
        <w:tc>
          <w:tcPr>
            <w:tcW w:w="2977" w:type="dxa"/>
          </w:tcPr>
          <w:p w14:paraId="75C7E0A4"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bCs/>
                <w:sz w:val="20"/>
                <w:szCs w:val="20"/>
              </w:rPr>
              <w:t xml:space="preserve">Alejandro Barbosa Loreto.  </w:t>
            </w:r>
          </w:p>
        </w:tc>
        <w:tc>
          <w:tcPr>
            <w:tcW w:w="2967" w:type="dxa"/>
            <w:shd w:val="clear" w:color="auto" w:fill="D0CECE" w:themeFill="background2" w:themeFillShade="E6"/>
          </w:tcPr>
          <w:p w14:paraId="1001E2B3" w14:textId="77777777" w:rsidR="00AD361F" w:rsidRPr="00E50B28" w:rsidRDefault="00AD361F" w:rsidP="00E15818">
            <w:pPr>
              <w:pStyle w:val="Prrafodelista"/>
              <w:ind w:left="0"/>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Magistrado Héctor Salvador Hernández Gallegos</w:t>
            </w:r>
          </w:p>
        </w:tc>
      </w:tr>
    </w:tbl>
    <w:p w14:paraId="248CCFE0" w14:textId="77777777" w:rsidR="00AD361F" w:rsidRPr="00AD361F" w:rsidRDefault="00AD361F" w:rsidP="00AD361F">
      <w:pPr>
        <w:pStyle w:val="Estilo"/>
        <w:spacing w:line="360" w:lineRule="auto"/>
        <w:rPr>
          <w:rFonts w:ascii="Arial Nova Light" w:hAnsi="Arial Nova Light"/>
          <w:szCs w:val="24"/>
        </w:rPr>
      </w:pPr>
    </w:p>
    <w:p w14:paraId="53B9AB6B" w14:textId="41FD1148" w:rsidR="009A54F1" w:rsidRPr="00126723" w:rsidRDefault="009A54F1" w:rsidP="009A54F1">
      <w:pPr>
        <w:pStyle w:val="Estilo"/>
        <w:numPr>
          <w:ilvl w:val="1"/>
          <w:numId w:val="34"/>
        </w:numPr>
        <w:spacing w:line="360" w:lineRule="auto"/>
        <w:ind w:left="0" w:firstLine="0"/>
        <w:rPr>
          <w:rFonts w:ascii="Arial Nova Light" w:hAnsi="Arial Nova Light"/>
          <w:szCs w:val="24"/>
        </w:rPr>
      </w:pPr>
      <w:r w:rsidRPr="00126723">
        <w:rPr>
          <w:rFonts w:ascii="Arial Nova Light" w:hAnsi="Arial Nova Light"/>
          <w:b/>
          <w:bCs/>
          <w:szCs w:val="24"/>
        </w:rPr>
        <w:t>Recepción del expediente en el TEEA.</w:t>
      </w:r>
      <w:r w:rsidRPr="00126723">
        <w:rPr>
          <w:rFonts w:ascii="Arial Nova Light" w:hAnsi="Arial Nova Light"/>
          <w:szCs w:val="24"/>
        </w:rPr>
        <w:t xml:space="preserve"> El veint</w:t>
      </w:r>
      <w:r w:rsidR="00392740">
        <w:rPr>
          <w:rFonts w:ascii="Arial Nova Light" w:hAnsi="Arial Nova Light"/>
          <w:szCs w:val="24"/>
        </w:rPr>
        <w:t>iuno de abril</w:t>
      </w:r>
      <w:r w:rsidRPr="00126723">
        <w:rPr>
          <w:rFonts w:ascii="Arial Nova Light" w:hAnsi="Arial Nova Light"/>
          <w:szCs w:val="24"/>
        </w:rPr>
        <w:t xml:space="preserve"> de dos mil veintiuno, la responsable remitió a este Tribunal el medio de impugnación</w:t>
      </w:r>
      <w:r w:rsidR="00392740">
        <w:rPr>
          <w:rFonts w:ascii="Arial Nova Light" w:hAnsi="Arial Nova Light"/>
          <w:szCs w:val="24"/>
        </w:rPr>
        <w:t xml:space="preserve"> </w:t>
      </w:r>
      <w:r w:rsidR="0086640D">
        <w:rPr>
          <w:rFonts w:ascii="Arial Nova Light" w:hAnsi="Arial Nova Light"/>
          <w:szCs w:val="24"/>
        </w:rPr>
        <w:t>vía correo electrónico</w:t>
      </w:r>
      <w:r w:rsidRPr="00126723">
        <w:rPr>
          <w:rFonts w:ascii="Arial Nova Light" w:hAnsi="Arial Nova Light"/>
          <w:szCs w:val="24"/>
        </w:rPr>
        <w:t xml:space="preserve">, el informe circunstanciado y el expediente debidamente integrado. </w:t>
      </w:r>
    </w:p>
    <w:p w14:paraId="14F21425" w14:textId="77777777" w:rsidR="009A54F1" w:rsidRPr="00126723" w:rsidRDefault="009A54F1" w:rsidP="009A54F1">
      <w:pPr>
        <w:pStyle w:val="Estilo"/>
        <w:spacing w:line="360" w:lineRule="auto"/>
        <w:rPr>
          <w:rFonts w:ascii="Arial Nova Light" w:hAnsi="Arial Nova Light"/>
          <w:szCs w:val="24"/>
        </w:rPr>
      </w:pPr>
    </w:p>
    <w:p w14:paraId="6C948608" w14:textId="77777777" w:rsidR="009A54F1" w:rsidRPr="00126723" w:rsidRDefault="009A54F1" w:rsidP="009A54F1">
      <w:pPr>
        <w:pStyle w:val="Estilo"/>
        <w:numPr>
          <w:ilvl w:val="1"/>
          <w:numId w:val="34"/>
        </w:numPr>
        <w:spacing w:line="360" w:lineRule="auto"/>
        <w:ind w:left="0" w:firstLine="0"/>
        <w:rPr>
          <w:rFonts w:ascii="Arial Nova Light" w:hAnsi="Arial Nova Light"/>
          <w:szCs w:val="24"/>
        </w:rPr>
      </w:pPr>
      <w:r w:rsidRPr="00126723">
        <w:rPr>
          <w:rFonts w:ascii="Arial Nova Light" w:hAnsi="Arial Nova Light"/>
          <w:b/>
          <w:bCs/>
          <w:szCs w:val="24"/>
        </w:rPr>
        <w:t>Radicación y admisión.</w:t>
      </w:r>
      <w:r w:rsidRPr="00126723">
        <w:rPr>
          <w:rFonts w:ascii="Arial Nova Light" w:hAnsi="Arial Nova Light"/>
          <w:szCs w:val="24"/>
        </w:rPr>
        <w:t xml:space="preserve"> La magistrada instructora radicó el expediente, y en su oportunidad, admitió la demanda. </w:t>
      </w:r>
    </w:p>
    <w:p w14:paraId="762843D2" w14:textId="77777777" w:rsidR="00695074" w:rsidRPr="00126723" w:rsidRDefault="00695074" w:rsidP="00695074">
      <w:pPr>
        <w:pStyle w:val="Estilo"/>
        <w:spacing w:line="360" w:lineRule="auto"/>
        <w:rPr>
          <w:rFonts w:ascii="Arial Nova Light" w:hAnsi="Arial Nova Light"/>
          <w:szCs w:val="24"/>
        </w:rPr>
      </w:pPr>
    </w:p>
    <w:p w14:paraId="6CA17D8E" w14:textId="72AB5D17" w:rsidR="009A54F1" w:rsidRPr="00126723" w:rsidRDefault="009A54F1" w:rsidP="009A54F1">
      <w:pPr>
        <w:pStyle w:val="Estilo"/>
        <w:numPr>
          <w:ilvl w:val="1"/>
          <w:numId w:val="34"/>
        </w:numPr>
        <w:spacing w:line="360" w:lineRule="auto"/>
        <w:ind w:left="0" w:firstLine="0"/>
        <w:rPr>
          <w:rFonts w:ascii="Arial Nova Light" w:hAnsi="Arial Nova Light"/>
          <w:szCs w:val="24"/>
        </w:rPr>
      </w:pPr>
      <w:r w:rsidRPr="00126723">
        <w:rPr>
          <w:rFonts w:ascii="Arial Nova Light" w:hAnsi="Arial Nova Light"/>
          <w:b/>
          <w:bCs/>
          <w:szCs w:val="24"/>
        </w:rPr>
        <w:t>Cierre de instrucción</w:t>
      </w:r>
      <w:r w:rsidRPr="00126723">
        <w:rPr>
          <w:rFonts w:ascii="Arial Nova Light" w:hAnsi="Arial Nova Light"/>
          <w:szCs w:val="24"/>
        </w:rPr>
        <w:t xml:space="preserve">. Una vez substanciado en todas sus etapas el expediente, </w:t>
      </w:r>
      <w:r w:rsidR="00695074" w:rsidRPr="00126723">
        <w:rPr>
          <w:rFonts w:ascii="Arial Nova Light" w:hAnsi="Arial Nova Light"/>
          <w:szCs w:val="24"/>
        </w:rPr>
        <w:t>la Magistrada Ponente</w:t>
      </w:r>
      <w:r w:rsidRPr="00126723">
        <w:rPr>
          <w:rFonts w:ascii="Arial Nova Light" w:hAnsi="Arial Nova Light"/>
          <w:szCs w:val="24"/>
        </w:rPr>
        <w:t xml:space="preserve">, declaró el cierre de instrucción, y ordenó formular el proyecto de resolución. </w:t>
      </w:r>
    </w:p>
    <w:p w14:paraId="0A5A98E4" w14:textId="77777777" w:rsidR="009A54F1" w:rsidRPr="00126723" w:rsidRDefault="009A54F1" w:rsidP="009A54F1">
      <w:pPr>
        <w:pStyle w:val="Estilo"/>
        <w:spacing w:line="360" w:lineRule="auto"/>
        <w:rPr>
          <w:rFonts w:ascii="Arial Nova Light" w:hAnsi="Arial Nova Light"/>
          <w:szCs w:val="24"/>
        </w:rPr>
      </w:pPr>
    </w:p>
    <w:p w14:paraId="705703CF" w14:textId="42FB09F1" w:rsidR="00087A18" w:rsidRPr="00126723" w:rsidRDefault="009A54F1" w:rsidP="00087A18">
      <w:pPr>
        <w:pStyle w:val="Estilo"/>
        <w:numPr>
          <w:ilvl w:val="0"/>
          <w:numId w:val="35"/>
        </w:numPr>
        <w:spacing w:line="360" w:lineRule="auto"/>
        <w:ind w:left="0" w:firstLine="0"/>
        <w:rPr>
          <w:rFonts w:ascii="Arial Nova Light" w:hAnsi="Arial Nova Light"/>
          <w:szCs w:val="24"/>
        </w:rPr>
      </w:pPr>
      <w:r w:rsidRPr="00126723">
        <w:rPr>
          <w:rFonts w:ascii="Arial Nova Light" w:eastAsia="Arial" w:hAnsi="Arial Nova Light"/>
          <w:b/>
          <w:bCs/>
          <w:szCs w:val="24"/>
        </w:rPr>
        <w:t>COMPETENCIA</w:t>
      </w:r>
      <w:r w:rsidRPr="00126723">
        <w:rPr>
          <w:rFonts w:ascii="Arial Nova Light" w:eastAsia="Arial" w:hAnsi="Arial Nova Light"/>
          <w:szCs w:val="24"/>
        </w:rPr>
        <w:t xml:space="preserve">. </w:t>
      </w:r>
      <w:r w:rsidRPr="00126723">
        <w:rPr>
          <w:rFonts w:ascii="Arial Nova Light" w:hAnsi="Arial Nova Light"/>
          <w:szCs w:val="24"/>
        </w:rPr>
        <w:t xml:space="preserve">De conformidad con lo previsto en los artículos 1, 2, 9 y 10, fracción, IV, 12 y 13 de los Lineamientos y 9 del Reglamento Interior, este Tribunal es competente para conocer y resolver </w:t>
      </w:r>
      <w:r w:rsidR="007A63B1" w:rsidRPr="00126723">
        <w:rPr>
          <w:rFonts w:ascii="Arial Nova Light" w:hAnsi="Arial Nova Light"/>
          <w:szCs w:val="24"/>
        </w:rPr>
        <w:t>los</w:t>
      </w:r>
      <w:r w:rsidRPr="00126723">
        <w:rPr>
          <w:rFonts w:ascii="Arial Nova Light" w:hAnsi="Arial Nova Light"/>
          <w:szCs w:val="24"/>
        </w:rPr>
        <w:t xml:space="preserve"> JDC promovido</w:t>
      </w:r>
      <w:r w:rsidR="00BE21B4" w:rsidRPr="00126723">
        <w:rPr>
          <w:rFonts w:ascii="Arial Nova Light" w:hAnsi="Arial Nova Light"/>
          <w:szCs w:val="24"/>
        </w:rPr>
        <w:t xml:space="preserve">s </w:t>
      </w:r>
      <w:r w:rsidRPr="00126723">
        <w:rPr>
          <w:rFonts w:ascii="Arial Nova Light" w:hAnsi="Arial Nova Light"/>
          <w:bCs/>
          <w:szCs w:val="24"/>
        </w:rPr>
        <w:t>en contra del</w:t>
      </w:r>
      <w:r w:rsidR="00BE21B4" w:rsidRPr="00126723">
        <w:rPr>
          <w:rFonts w:ascii="Arial Nova Light" w:hAnsi="Arial Nova Light"/>
          <w:bCs/>
          <w:szCs w:val="24"/>
        </w:rPr>
        <w:t xml:space="preserve"> ACUERDO DE IMPROCEDENCIA dictado por la CNHJ en fecha doce de abril, </w:t>
      </w:r>
      <w:r w:rsidR="000B2923" w:rsidRPr="00126723">
        <w:rPr>
          <w:rFonts w:ascii="Arial Nova Light" w:hAnsi="Arial Nova Light"/>
          <w:bCs/>
          <w:szCs w:val="24"/>
        </w:rPr>
        <w:t>en relación con la</w:t>
      </w:r>
      <w:r w:rsidRPr="00126723">
        <w:rPr>
          <w:rFonts w:ascii="Arial Nova Light" w:hAnsi="Arial Nova Light"/>
          <w:bCs/>
          <w:szCs w:val="24"/>
        </w:rPr>
        <w:t xml:space="preserve"> postulación de candidaturas para la integración </w:t>
      </w:r>
      <w:r w:rsidR="000B2923" w:rsidRPr="00126723">
        <w:rPr>
          <w:rFonts w:ascii="Arial Nova Light" w:hAnsi="Arial Nova Light"/>
          <w:bCs/>
          <w:szCs w:val="24"/>
        </w:rPr>
        <w:t>de</w:t>
      </w:r>
      <w:r w:rsidRPr="00126723">
        <w:rPr>
          <w:rFonts w:ascii="Arial Nova Light" w:hAnsi="Arial Nova Light"/>
          <w:bCs/>
          <w:szCs w:val="24"/>
        </w:rPr>
        <w:t xml:space="preserve"> </w:t>
      </w:r>
      <w:r w:rsidR="00994CFB" w:rsidRPr="00126723">
        <w:rPr>
          <w:rFonts w:ascii="Arial Nova Light" w:hAnsi="Arial Nova Light"/>
          <w:bCs/>
          <w:szCs w:val="24"/>
        </w:rPr>
        <w:t>las diputaciones y</w:t>
      </w:r>
      <w:r w:rsidRPr="00126723">
        <w:rPr>
          <w:rFonts w:ascii="Arial Nova Light" w:hAnsi="Arial Nova Light"/>
          <w:bCs/>
          <w:szCs w:val="24"/>
        </w:rPr>
        <w:t xml:space="preserve"> Ayuntamientos</w:t>
      </w:r>
      <w:r w:rsidR="00994CFB" w:rsidRPr="00126723">
        <w:rPr>
          <w:rFonts w:ascii="Arial Nova Light" w:hAnsi="Arial Nova Light"/>
          <w:bCs/>
          <w:szCs w:val="24"/>
        </w:rPr>
        <w:t xml:space="preserve"> en Aguascalientes</w:t>
      </w:r>
      <w:r w:rsidRPr="00126723">
        <w:rPr>
          <w:rFonts w:ascii="Arial Nova Light" w:hAnsi="Arial Nova Light"/>
          <w:bCs/>
          <w:szCs w:val="24"/>
        </w:rPr>
        <w:t xml:space="preserve">. </w:t>
      </w:r>
    </w:p>
    <w:p w14:paraId="310D10FE" w14:textId="77777777" w:rsidR="00087A18" w:rsidRPr="00126723" w:rsidRDefault="00087A18" w:rsidP="00087A18">
      <w:pPr>
        <w:pStyle w:val="Estilo"/>
        <w:spacing w:line="360" w:lineRule="auto"/>
        <w:rPr>
          <w:rFonts w:ascii="Arial Nova Light" w:hAnsi="Arial Nova Light"/>
          <w:szCs w:val="24"/>
        </w:rPr>
      </w:pPr>
    </w:p>
    <w:p w14:paraId="548583A1" w14:textId="4551D095" w:rsidR="00087A18" w:rsidRPr="00126723" w:rsidRDefault="00087A18" w:rsidP="00087A18">
      <w:pPr>
        <w:pStyle w:val="Estilo"/>
        <w:numPr>
          <w:ilvl w:val="0"/>
          <w:numId w:val="35"/>
        </w:numPr>
        <w:spacing w:line="360" w:lineRule="auto"/>
        <w:ind w:left="0" w:firstLine="0"/>
        <w:rPr>
          <w:rFonts w:ascii="Arial Nova Light" w:hAnsi="Arial Nova Light"/>
          <w:szCs w:val="24"/>
        </w:rPr>
      </w:pPr>
      <w:r w:rsidRPr="00126723">
        <w:rPr>
          <w:rFonts w:ascii="Arial Nova Light" w:eastAsia="Arial" w:hAnsi="Arial Nova Light"/>
          <w:b/>
          <w:bCs/>
          <w:szCs w:val="24"/>
        </w:rPr>
        <w:lastRenderedPageBreak/>
        <w:t xml:space="preserve">ACUMULACIÓN. </w:t>
      </w:r>
      <w:r w:rsidRPr="00126723">
        <w:rPr>
          <w:rFonts w:ascii="Arial Nova Light" w:eastAsia="Arial Nova" w:hAnsi="Arial Nova Light" w:cs="Arial Nova"/>
          <w:szCs w:val="24"/>
        </w:rPr>
        <w:t xml:space="preserve">El Pleno de este Tribunal, observa que, en la especie, es procedente acumular </w:t>
      </w:r>
      <w:r w:rsidR="000B2923" w:rsidRPr="00126723">
        <w:rPr>
          <w:rFonts w:ascii="Arial Nova Light" w:eastAsia="Arial Nova" w:hAnsi="Arial Nova Light" w:cs="Arial Nova"/>
          <w:szCs w:val="24"/>
        </w:rPr>
        <w:t>los juicios</w:t>
      </w:r>
      <w:r w:rsidRPr="00126723">
        <w:rPr>
          <w:rFonts w:ascii="Arial Nova Light" w:eastAsia="Arial Nova" w:hAnsi="Arial Nova Light" w:cs="Arial Nova"/>
          <w:szCs w:val="24"/>
        </w:rPr>
        <w:t xml:space="preserve"> TEEA-JDC-</w:t>
      </w:r>
      <w:r w:rsidR="000B2923" w:rsidRPr="00126723">
        <w:rPr>
          <w:rFonts w:ascii="Arial Nova Light" w:eastAsia="Arial Nova" w:hAnsi="Arial Nova Light" w:cs="Arial Nova"/>
          <w:szCs w:val="24"/>
        </w:rPr>
        <w:t>106</w:t>
      </w:r>
      <w:r w:rsidRPr="00126723">
        <w:rPr>
          <w:rFonts w:ascii="Arial Nova Light" w:eastAsia="Arial Nova" w:hAnsi="Arial Nova Light" w:cs="Arial Nova"/>
          <w:szCs w:val="24"/>
        </w:rPr>
        <w:t>/2021</w:t>
      </w:r>
      <w:r w:rsidR="000B2923" w:rsidRPr="00126723">
        <w:rPr>
          <w:rFonts w:ascii="Arial Nova Light" w:eastAsia="Arial Nova" w:hAnsi="Arial Nova Light" w:cs="Arial Nova"/>
          <w:szCs w:val="24"/>
        </w:rPr>
        <w:t>, TEEA-JDC-107/2021</w:t>
      </w:r>
      <w:r w:rsidRPr="00126723">
        <w:rPr>
          <w:rFonts w:ascii="Arial Nova Light" w:eastAsia="Arial Nova" w:hAnsi="Arial Nova Light" w:cs="Arial Nova"/>
          <w:szCs w:val="24"/>
        </w:rPr>
        <w:t>,</w:t>
      </w:r>
      <w:r w:rsidR="000B2923" w:rsidRPr="00126723">
        <w:rPr>
          <w:rFonts w:ascii="Arial Nova Light" w:eastAsia="Arial Nova" w:hAnsi="Arial Nova Light" w:cs="Arial Nova"/>
          <w:szCs w:val="24"/>
        </w:rPr>
        <w:t xml:space="preserve"> TEEA-JDC-108/2021, TEEA-JDC-109/2021, TEEA-JDC-110/2021</w:t>
      </w:r>
      <w:r w:rsidRPr="00126723">
        <w:rPr>
          <w:rFonts w:ascii="Arial Nova Light" w:eastAsia="Arial Nova" w:hAnsi="Arial Nova Light" w:cs="Arial Nova"/>
          <w:szCs w:val="24"/>
        </w:rPr>
        <w:t xml:space="preserve"> al diverso TEEA-JDC-</w:t>
      </w:r>
      <w:r w:rsidR="000B2923" w:rsidRPr="00126723">
        <w:rPr>
          <w:rFonts w:ascii="Arial Nova Light" w:eastAsia="Arial Nova" w:hAnsi="Arial Nova Light" w:cs="Arial Nova"/>
          <w:szCs w:val="24"/>
        </w:rPr>
        <w:t>105</w:t>
      </w:r>
      <w:r w:rsidRPr="00126723">
        <w:rPr>
          <w:rFonts w:ascii="Arial Nova Light" w:eastAsia="Arial Nova" w:hAnsi="Arial Nova Light" w:cs="Arial Nova"/>
          <w:szCs w:val="24"/>
        </w:rPr>
        <w:t>/2021, debido a que éste fue el primero que se registró, por lo que debe agregarse una copia certificada de los puntos resolutivos de esta ejecutoria a los autos del expediente acumulado, en atención a lo que disponen los artículos 257 del Código Electoral y 129 del Reglamento.</w:t>
      </w:r>
    </w:p>
    <w:p w14:paraId="2117A2CA" w14:textId="77777777" w:rsidR="00087A18" w:rsidRPr="00126723" w:rsidRDefault="00087A18" w:rsidP="00087A18">
      <w:pPr>
        <w:pBdr>
          <w:top w:val="nil"/>
          <w:left w:val="nil"/>
          <w:bottom w:val="nil"/>
          <w:right w:val="nil"/>
          <w:between w:val="nil"/>
        </w:pBdr>
        <w:tabs>
          <w:tab w:val="left" w:pos="567"/>
          <w:tab w:val="left" w:pos="4495"/>
        </w:tabs>
        <w:spacing w:after="0" w:line="360" w:lineRule="auto"/>
        <w:jc w:val="both"/>
        <w:rPr>
          <w:rFonts w:ascii="Arial Nova Light" w:eastAsia="Arial Nova" w:hAnsi="Arial Nova Light" w:cs="Arial Nova"/>
          <w:b/>
          <w:sz w:val="24"/>
          <w:szCs w:val="24"/>
        </w:rPr>
      </w:pPr>
    </w:p>
    <w:p w14:paraId="22CCD70F" w14:textId="4227ECAC" w:rsidR="00087A18" w:rsidRPr="00126723" w:rsidRDefault="00087A18" w:rsidP="00087A18">
      <w:pPr>
        <w:pBdr>
          <w:top w:val="nil"/>
          <w:left w:val="nil"/>
          <w:bottom w:val="nil"/>
          <w:right w:val="nil"/>
          <w:between w:val="nil"/>
        </w:pBdr>
        <w:tabs>
          <w:tab w:val="left" w:pos="567"/>
          <w:tab w:val="left" w:pos="4495"/>
        </w:tabs>
        <w:spacing w:after="0" w:line="360" w:lineRule="auto"/>
        <w:jc w:val="both"/>
        <w:rPr>
          <w:rFonts w:ascii="Arial Nova Light" w:eastAsia="Arial Nova" w:hAnsi="Arial Nova Light" w:cs="Arial Nova"/>
          <w:sz w:val="24"/>
          <w:szCs w:val="24"/>
        </w:rPr>
      </w:pPr>
      <w:r w:rsidRPr="00126723">
        <w:rPr>
          <w:rFonts w:ascii="Arial Nova Light" w:eastAsia="Arial Nova" w:hAnsi="Arial Nova Light" w:cs="Arial Nova"/>
          <w:sz w:val="24"/>
          <w:szCs w:val="24"/>
        </w:rPr>
        <w:t>Lo anterior, debido a que se trata de J</w:t>
      </w:r>
      <w:r w:rsidR="007C326D" w:rsidRPr="00126723">
        <w:rPr>
          <w:rFonts w:ascii="Arial Nova Light" w:eastAsia="Arial Nova" w:hAnsi="Arial Nova Light" w:cs="Arial Nova"/>
          <w:sz w:val="24"/>
          <w:szCs w:val="24"/>
        </w:rPr>
        <w:t>uicios Ciudadanos</w:t>
      </w:r>
      <w:r w:rsidRPr="00126723">
        <w:rPr>
          <w:rFonts w:ascii="Arial Nova Light" w:eastAsia="Arial Nova" w:hAnsi="Arial Nova Light" w:cs="Arial Nova"/>
          <w:sz w:val="24"/>
          <w:szCs w:val="24"/>
        </w:rPr>
        <w:t xml:space="preserve">, en los </w:t>
      </w:r>
      <w:r w:rsidR="00412622" w:rsidRPr="00126723">
        <w:rPr>
          <w:rFonts w:ascii="Arial Nova Light" w:eastAsia="Arial Nova" w:hAnsi="Arial Nova Light" w:cs="Arial Nova"/>
          <w:sz w:val="24"/>
          <w:szCs w:val="24"/>
        </w:rPr>
        <w:t xml:space="preserve">que </w:t>
      </w:r>
      <w:r w:rsidR="007C326D" w:rsidRPr="00126723">
        <w:rPr>
          <w:rFonts w:ascii="Arial Nova Light" w:eastAsia="Arial Nova" w:hAnsi="Arial Nova Light" w:cs="Arial Nova"/>
          <w:sz w:val="24"/>
          <w:szCs w:val="24"/>
        </w:rPr>
        <w:t xml:space="preserve">se impugna el mismo Acuerdo de Improcedencia dictado por la CNHJ del partido MORENA. </w:t>
      </w:r>
      <w:r w:rsidR="00E51C7C" w:rsidRPr="00126723">
        <w:rPr>
          <w:rFonts w:ascii="Arial Nova Light" w:eastAsia="Arial Nova" w:hAnsi="Arial Nova Light" w:cs="Arial Nova"/>
          <w:sz w:val="24"/>
          <w:szCs w:val="24"/>
        </w:rPr>
        <w:t xml:space="preserve"> </w:t>
      </w:r>
    </w:p>
    <w:p w14:paraId="27630C5A" w14:textId="77777777" w:rsidR="00087A18" w:rsidRPr="00126723" w:rsidRDefault="00087A18" w:rsidP="00087A18">
      <w:pPr>
        <w:pBdr>
          <w:top w:val="nil"/>
          <w:left w:val="nil"/>
          <w:bottom w:val="nil"/>
          <w:right w:val="nil"/>
          <w:between w:val="nil"/>
        </w:pBdr>
        <w:tabs>
          <w:tab w:val="left" w:pos="567"/>
          <w:tab w:val="left" w:pos="4495"/>
        </w:tabs>
        <w:spacing w:after="0" w:line="360" w:lineRule="auto"/>
        <w:jc w:val="both"/>
        <w:rPr>
          <w:rFonts w:ascii="Arial Nova Light" w:eastAsia="Arial Nova" w:hAnsi="Arial Nova Light" w:cs="Arial Nova"/>
          <w:sz w:val="24"/>
          <w:szCs w:val="24"/>
        </w:rPr>
      </w:pPr>
    </w:p>
    <w:p w14:paraId="4F1214F8" w14:textId="77777777" w:rsidR="00087A18" w:rsidRPr="00126723" w:rsidRDefault="00087A18" w:rsidP="00087A18">
      <w:pPr>
        <w:pBdr>
          <w:top w:val="nil"/>
          <w:left w:val="nil"/>
          <w:bottom w:val="nil"/>
          <w:right w:val="nil"/>
          <w:between w:val="nil"/>
        </w:pBdr>
        <w:tabs>
          <w:tab w:val="left" w:pos="0"/>
          <w:tab w:val="left" w:pos="4495"/>
        </w:tabs>
        <w:spacing w:after="0" w:line="360" w:lineRule="auto"/>
        <w:jc w:val="both"/>
        <w:rPr>
          <w:rFonts w:ascii="Arial Nova Light" w:eastAsia="Arial Nova" w:hAnsi="Arial Nova Light" w:cs="Arial Nova"/>
          <w:sz w:val="24"/>
          <w:szCs w:val="24"/>
        </w:rPr>
      </w:pPr>
      <w:r w:rsidRPr="00126723">
        <w:rPr>
          <w:rFonts w:ascii="Arial Nova Light" w:eastAsia="Arial Nova" w:hAnsi="Arial Nova Light" w:cs="Arial Nova"/>
          <w:sz w:val="24"/>
          <w:szCs w:val="24"/>
        </w:rPr>
        <w:t>Al respecto, debe señalarse que los efectos de la acumulación son meramente procesales y en modo alguno pueden modificar los derechos sustantivos de las partes que intervienen en los diversos juicios, sino que, las finalidades que se persiguen con ésta son única y exclusivamente la economía procesal y evitar sentencias contradictorias</w:t>
      </w:r>
      <w:r w:rsidRPr="00126723">
        <w:rPr>
          <w:rFonts w:ascii="Arial Nova Light" w:eastAsia="Arial Nova" w:hAnsi="Arial Nova Light" w:cs="Arial Nova"/>
          <w:sz w:val="24"/>
          <w:szCs w:val="24"/>
          <w:vertAlign w:val="superscript"/>
        </w:rPr>
        <w:footnoteReference w:id="3"/>
      </w:r>
      <w:r w:rsidRPr="00126723">
        <w:rPr>
          <w:rFonts w:ascii="Arial Nova Light" w:eastAsia="Arial Nova" w:hAnsi="Arial Nova Light" w:cs="Arial Nova"/>
          <w:sz w:val="24"/>
          <w:szCs w:val="24"/>
        </w:rPr>
        <w:t>.</w:t>
      </w:r>
    </w:p>
    <w:p w14:paraId="5A868A5A" w14:textId="77777777" w:rsidR="009A54F1" w:rsidRPr="00126723" w:rsidRDefault="009A54F1" w:rsidP="009A54F1">
      <w:pPr>
        <w:pStyle w:val="Estilo"/>
        <w:spacing w:line="360" w:lineRule="auto"/>
        <w:rPr>
          <w:rFonts w:ascii="Arial Nova Light" w:hAnsi="Arial Nova Light"/>
          <w:szCs w:val="24"/>
        </w:rPr>
      </w:pPr>
    </w:p>
    <w:p w14:paraId="76768EDC" w14:textId="51681DA1" w:rsidR="009A54F1" w:rsidRPr="00126723" w:rsidRDefault="009A54F1" w:rsidP="009A54F1">
      <w:pPr>
        <w:pStyle w:val="Estilo"/>
        <w:numPr>
          <w:ilvl w:val="0"/>
          <w:numId w:val="35"/>
        </w:numPr>
        <w:spacing w:line="360" w:lineRule="auto"/>
        <w:ind w:left="0" w:firstLine="0"/>
        <w:rPr>
          <w:rFonts w:ascii="Arial Nova Light" w:eastAsia="Times New Roman" w:hAnsi="Arial Nova Light"/>
          <w:szCs w:val="24"/>
        </w:rPr>
      </w:pPr>
      <w:bookmarkStart w:id="3" w:name="_Hlk512847505"/>
      <w:r w:rsidRPr="00126723">
        <w:rPr>
          <w:rFonts w:ascii="Arial Nova Light" w:hAnsi="Arial Nova Light"/>
          <w:b/>
          <w:bCs/>
          <w:szCs w:val="24"/>
        </w:rPr>
        <w:t>PROCEDENCIA</w:t>
      </w:r>
      <w:r w:rsidRPr="00126723">
        <w:rPr>
          <w:rFonts w:ascii="Arial Nova Light" w:hAnsi="Arial Nova Light"/>
          <w:szCs w:val="24"/>
        </w:rPr>
        <w:t xml:space="preserve">. </w:t>
      </w:r>
      <w:r w:rsidR="00246644" w:rsidRPr="00126723">
        <w:rPr>
          <w:rFonts w:ascii="Arial Nova Light" w:hAnsi="Arial Nova Light"/>
          <w:bCs/>
          <w:szCs w:val="24"/>
        </w:rPr>
        <w:t>Los Juicios Ciudadanos presentados</w:t>
      </w:r>
      <w:r w:rsidRPr="00126723">
        <w:rPr>
          <w:rFonts w:ascii="Arial Nova Light" w:hAnsi="Arial Nova Light"/>
          <w:szCs w:val="24"/>
        </w:rPr>
        <w:t xml:space="preserve"> cumple</w:t>
      </w:r>
      <w:r w:rsidR="00246644" w:rsidRPr="00126723">
        <w:rPr>
          <w:rFonts w:ascii="Arial Nova Light" w:hAnsi="Arial Nova Light"/>
          <w:szCs w:val="24"/>
        </w:rPr>
        <w:t>n</w:t>
      </w:r>
      <w:r w:rsidRPr="00126723">
        <w:rPr>
          <w:rFonts w:ascii="Arial Nova Light" w:hAnsi="Arial Nova Light"/>
          <w:szCs w:val="24"/>
        </w:rPr>
        <w:t xml:space="preserve"> con los requisitos de procedencia previstos en el artículo 302 del Código Electoral. </w:t>
      </w:r>
    </w:p>
    <w:p w14:paraId="3D538AE7" w14:textId="77777777" w:rsidR="009A54F1" w:rsidRPr="00126723" w:rsidRDefault="009A54F1" w:rsidP="009A54F1">
      <w:pPr>
        <w:pStyle w:val="Estilo"/>
        <w:spacing w:line="360" w:lineRule="auto"/>
        <w:rPr>
          <w:rFonts w:ascii="Arial Nova Light" w:hAnsi="Arial Nova Light"/>
          <w:szCs w:val="24"/>
        </w:rPr>
      </w:pPr>
    </w:p>
    <w:p w14:paraId="490498DC" w14:textId="6A9093A2" w:rsidR="009A54F1" w:rsidRPr="00126723" w:rsidRDefault="009A54F1" w:rsidP="009A54F1">
      <w:pPr>
        <w:pStyle w:val="Estilo"/>
        <w:spacing w:line="360" w:lineRule="auto"/>
        <w:rPr>
          <w:rFonts w:ascii="Arial Nova Light" w:hAnsi="Arial Nova Light"/>
          <w:szCs w:val="24"/>
        </w:rPr>
      </w:pPr>
      <w:r w:rsidRPr="00126723">
        <w:rPr>
          <w:rFonts w:ascii="Arial Nova Light" w:hAnsi="Arial Nova Light"/>
          <w:b/>
          <w:bCs/>
          <w:szCs w:val="24"/>
        </w:rPr>
        <w:t>a) Forma.</w:t>
      </w:r>
      <w:r w:rsidRPr="00126723">
        <w:rPr>
          <w:rFonts w:ascii="Arial Nova Light" w:hAnsi="Arial Nova Light"/>
          <w:szCs w:val="24"/>
        </w:rPr>
        <w:t xml:space="preserve"> La</w:t>
      </w:r>
      <w:r w:rsidR="000E6A0A" w:rsidRPr="00126723">
        <w:rPr>
          <w:rFonts w:ascii="Arial Nova Light" w:hAnsi="Arial Nova Light"/>
          <w:szCs w:val="24"/>
        </w:rPr>
        <w:t>s</w:t>
      </w:r>
      <w:r w:rsidRPr="00126723">
        <w:rPr>
          <w:rFonts w:ascii="Arial Nova Light" w:hAnsi="Arial Nova Light"/>
          <w:szCs w:val="24"/>
        </w:rPr>
        <w:t xml:space="preserve"> demanda</w:t>
      </w:r>
      <w:r w:rsidR="000E6A0A" w:rsidRPr="00126723">
        <w:rPr>
          <w:rFonts w:ascii="Arial Nova Light" w:hAnsi="Arial Nova Light"/>
          <w:szCs w:val="24"/>
        </w:rPr>
        <w:t>s</w:t>
      </w:r>
      <w:r w:rsidRPr="00126723">
        <w:rPr>
          <w:rFonts w:ascii="Arial Nova Light" w:hAnsi="Arial Nova Light"/>
          <w:szCs w:val="24"/>
        </w:rPr>
        <w:t xml:space="preserve"> fue</w:t>
      </w:r>
      <w:r w:rsidR="000E6A0A" w:rsidRPr="00126723">
        <w:rPr>
          <w:rFonts w:ascii="Arial Nova Light" w:hAnsi="Arial Nova Light"/>
          <w:szCs w:val="24"/>
        </w:rPr>
        <w:t>ron</w:t>
      </w:r>
      <w:r w:rsidRPr="00126723">
        <w:rPr>
          <w:rFonts w:ascii="Arial Nova Light" w:hAnsi="Arial Nova Light"/>
          <w:szCs w:val="24"/>
        </w:rPr>
        <w:t xml:space="preserve"> presentada</w:t>
      </w:r>
      <w:r w:rsidR="000E6A0A" w:rsidRPr="00126723">
        <w:rPr>
          <w:rFonts w:ascii="Arial Nova Light" w:hAnsi="Arial Nova Light"/>
          <w:szCs w:val="24"/>
        </w:rPr>
        <w:t>s</w:t>
      </w:r>
      <w:r w:rsidRPr="00126723">
        <w:rPr>
          <w:rFonts w:ascii="Arial Nova Light" w:hAnsi="Arial Nova Light"/>
          <w:szCs w:val="24"/>
        </w:rPr>
        <w:t xml:space="preserve"> por escrito, se identificó el acto impugnado, se expusieron los hechos y agravios en los que se basa </w:t>
      </w:r>
      <w:r w:rsidR="000E6A0A" w:rsidRPr="00126723">
        <w:rPr>
          <w:rFonts w:ascii="Arial Nova Light" w:hAnsi="Arial Nova Light"/>
          <w:szCs w:val="24"/>
        </w:rPr>
        <w:t>cada</w:t>
      </w:r>
      <w:r w:rsidRPr="00126723">
        <w:rPr>
          <w:rFonts w:ascii="Arial Nova Light" w:hAnsi="Arial Nova Light"/>
          <w:szCs w:val="24"/>
        </w:rPr>
        <w:t xml:space="preserve"> medio de impugnación, los preceptos presuntamente violados, así como el nombre y firma autógrafa de la</w:t>
      </w:r>
      <w:r w:rsidR="00C50214" w:rsidRPr="00126723">
        <w:rPr>
          <w:rFonts w:ascii="Arial Nova Light" w:hAnsi="Arial Nova Light"/>
          <w:szCs w:val="24"/>
        </w:rPr>
        <w:t>s</w:t>
      </w:r>
      <w:r w:rsidRPr="00126723">
        <w:rPr>
          <w:rFonts w:ascii="Arial Nova Light" w:hAnsi="Arial Nova Light"/>
          <w:szCs w:val="24"/>
        </w:rPr>
        <w:t xml:space="preserve"> </w:t>
      </w:r>
      <w:r w:rsidR="00C50214" w:rsidRPr="00126723">
        <w:rPr>
          <w:rFonts w:ascii="Arial Nova Light" w:hAnsi="Arial Nova Light"/>
          <w:szCs w:val="24"/>
        </w:rPr>
        <w:t xml:space="preserve">partes </w:t>
      </w:r>
      <w:r w:rsidRPr="00126723">
        <w:rPr>
          <w:rFonts w:ascii="Arial Nova Light" w:hAnsi="Arial Nova Light"/>
          <w:szCs w:val="24"/>
        </w:rPr>
        <w:t>promovente</w:t>
      </w:r>
      <w:r w:rsidR="00C50214" w:rsidRPr="00126723">
        <w:rPr>
          <w:rFonts w:ascii="Arial Nova Light" w:hAnsi="Arial Nova Light"/>
          <w:szCs w:val="24"/>
        </w:rPr>
        <w:t>s</w:t>
      </w:r>
      <w:r w:rsidRPr="00126723">
        <w:rPr>
          <w:rFonts w:ascii="Arial Nova Light" w:hAnsi="Arial Nova Light"/>
          <w:szCs w:val="24"/>
        </w:rPr>
        <w:t>.</w:t>
      </w:r>
    </w:p>
    <w:p w14:paraId="5068FAB3" w14:textId="77777777" w:rsidR="009A54F1" w:rsidRPr="00126723" w:rsidRDefault="009A54F1" w:rsidP="009A54F1">
      <w:pPr>
        <w:pStyle w:val="Estilo"/>
        <w:spacing w:line="360" w:lineRule="auto"/>
        <w:rPr>
          <w:rFonts w:ascii="Arial Nova Light" w:hAnsi="Arial Nova Light"/>
          <w:szCs w:val="24"/>
        </w:rPr>
      </w:pPr>
    </w:p>
    <w:p w14:paraId="66668981" w14:textId="3E405407" w:rsidR="009A54F1" w:rsidRPr="00126723" w:rsidRDefault="009A54F1" w:rsidP="009A54F1">
      <w:pPr>
        <w:pStyle w:val="Estilo"/>
        <w:spacing w:line="360" w:lineRule="auto"/>
        <w:rPr>
          <w:rFonts w:ascii="Arial Nova Light" w:hAnsi="Arial Nova Light" w:cs="Arial"/>
          <w:szCs w:val="24"/>
        </w:rPr>
      </w:pPr>
      <w:r w:rsidRPr="00126723">
        <w:rPr>
          <w:rFonts w:ascii="Arial Nova Light" w:hAnsi="Arial Nova Light"/>
          <w:b/>
          <w:bCs/>
          <w:szCs w:val="24"/>
        </w:rPr>
        <w:t>b) Oportunidad.</w:t>
      </w:r>
      <w:r w:rsidRPr="00126723">
        <w:rPr>
          <w:rFonts w:ascii="Arial Nova Light" w:hAnsi="Arial Nova Light"/>
          <w:szCs w:val="24"/>
        </w:rPr>
        <w:t xml:space="preserve"> </w:t>
      </w:r>
      <w:r w:rsidR="00420A2B" w:rsidRPr="00126723">
        <w:rPr>
          <w:rFonts w:ascii="Arial Nova Light" w:hAnsi="Arial Nova Light" w:cs="Arial"/>
          <w:szCs w:val="24"/>
        </w:rPr>
        <w:t>Los medios se presentan</w:t>
      </w:r>
      <w:r w:rsidRPr="00126723">
        <w:rPr>
          <w:rFonts w:ascii="Arial Nova Light" w:hAnsi="Arial Nova Light" w:cs="Arial"/>
          <w:szCs w:val="24"/>
        </w:rPr>
        <w:t xml:space="preserve"> en tiempo y forma, pues </w:t>
      </w:r>
      <w:r w:rsidR="00420A2B" w:rsidRPr="00126723">
        <w:rPr>
          <w:rFonts w:ascii="Arial Nova Light" w:hAnsi="Arial Nova Light" w:cs="Arial"/>
          <w:szCs w:val="24"/>
        </w:rPr>
        <w:t xml:space="preserve">el acuerdo combatido fue dictado el día doce de abril en tanto que los medios se interpusieron </w:t>
      </w:r>
      <w:r w:rsidR="00134139" w:rsidRPr="00126723">
        <w:rPr>
          <w:rFonts w:ascii="Arial Nova Light" w:hAnsi="Arial Nova Light" w:cs="Arial"/>
          <w:szCs w:val="24"/>
        </w:rPr>
        <w:t xml:space="preserve">en las siguientes fechas: </w:t>
      </w:r>
    </w:p>
    <w:tbl>
      <w:tblPr>
        <w:tblStyle w:val="Tablaconcuadrcula1clara"/>
        <w:tblW w:w="0" w:type="auto"/>
        <w:jc w:val="center"/>
        <w:tblLook w:val="04A0" w:firstRow="1" w:lastRow="0" w:firstColumn="1" w:lastColumn="0" w:noHBand="0" w:noVBand="1"/>
      </w:tblPr>
      <w:tblGrid>
        <w:gridCol w:w="2965"/>
        <w:gridCol w:w="2977"/>
      </w:tblGrid>
      <w:tr w:rsidR="00134139" w:rsidRPr="00E50B28" w14:paraId="78E39BE4" w14:textId="77777777" w:rsidTr="00E50B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3F20B565" w14:textId="77777777" w:rsidR="00134139" w:rsidRPr="00E50B28" w:rsidRDefault="00134139" w:rsidP="00566D05">
            <w:pPr>
              <w:pStyle w:val="Prrafodelista"/>
              <w:ind w:left="0"/>
              <w:jc w:val="center"/>
              <w:rPr>
                <w:rFonts w:ascii="Arial Nova Light" w:hAnsi="Arial Nova Light"/>
                <w:sz w:val="20"/>
                <w:szCs w:val="20"/>
              </w:rPr>
            </w:pPr>
            <w:r w:rsidRPr="00E50B28">
              <w:rPr>
                <w:rFonts w:ascii="Arial Nova Light" w:hAnsi="Arial Nova Light"/>
                <w:sz w:val="20"/>
                <w:szCs w:val="20"/>
              </w:rPr>
              <w:t>Expediente</w:t>
            </w:r>
          </w:p>
        </w:tc>
        <w:tc>
          <w:tcPr>
            <w:tcW w:w="2977" w:type="dxa"/>
          </w:tcPr>
          <w:p w14:paraId="64DBC7A5" w14:textId="61306EC4" w:rsidR="00134139" w:rsidRPr="00E50B28" w:rsidRDefault="00134139" w:rsidP="00A509B3">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Fecha</w:t>
            </w:r>
          </w:p>
        </w:tc>
      </w:tr>
      <w:tr w:rsidR="00134139" w:rsidRPr="00E50B28" w14:paraId="3D26C945" w14:textId="77777777" w:rsidTr="00E50B2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4EE07AA1" w14:textId="77777777" w:rsidR="00134139" w:rsidRPr="00E50B28" w:rsidRDefault="00134139" w:rsidP="00566D05">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TEEA-JDC-105/2021 </w:t>
            </w:r>
          </w:p>
        </w:tc>
        <w:tc>
          <w:tcPr>
            <w:tcW w:w="2977" w:type="dxa"/>
          </w:tcPr>
          <w:p w14:paraId="14CD559F" w14:textId="25EB4A52" w:rsidR="00134139" w:rsidRPr="00E50B28" w:rsidRDefault="00134139" w:rsidP="00A509B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15 de abril</w:t>
            </w:r>
          </w:p>
        </w:tc>
      </w:tr>
      <w:tr w:rsidR="00134139" w:rsidRPr="00E50B28" w14:paraId="3794CF9B" w14:textId="77777777" w:rsidTr="00E50B2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14043263" w14:textId="77777777" w:rsidR="00134139" w:rsidRPr="00E50B28" w:rsidRDefault="00134139" w:rsidP="00566D05">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TEEA-JDC-106/2021 </w:t>
            </w:r>
          </w:p>
        </w:tc>
        <w:tc>
          <w:tcPr>
            <w:tcW w:w="2977" w:type="dxa"/>
          </w:tcPr>
          <w:p w14:paraId="000DBD09" w14:textId="0A1324CA" w:rsidR="00134139" w:rsidRPr="00E50B28" w:rsidRDefault="00134139" w:rsidP="00A509B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15 de abril</w:t>
            </w:r>
          </w:p>
        </w:tc>
      </w:tr>
      <w:tr w:rsidR="00134139" w:rsidRPr="00E50B28" w14:paraId="774B76F4" w14:textId="77777777" w:rsidTr="00E50B2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62ED2C65" w14:textId="77777777" w:rsidR="00134139" w:rsidRPr="00E50B28" w:rsidRDefault="00134139" w:rsidP="00566D05">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TEEA-JDC-107/2021 </w:t>
            </w:r>
          </w:p>
        </w:tc>
        <w:tc>
          <w:tcPr>
            <w:tcW w:w="2977" w:type="dxa"/>
          </w:tcPr>
          <w:p w14:paraId="3FCD1CA5" w14:textId="1866FA2E" w:rsidR="00134139" w:rsidRPr="00E50B28" w:rsidRDefault="00134139" w:rsidP="00A509B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15 de abril</w:t>
            </w:r>
          </w:p>
        </w:tc>
      </w:tr>
      <w:tr w:rsidR="00134139" w:rsidRPr="00E50B28" w14:paraId="090C6BC3" w14:textId="77777777" w:rsidTr="00E50B2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251F57FE" w14:textId="77777777" w:rsidR="00134139" w:rsidRPr="00E50B28" w:rsidRDefault="00134139" w:rsidP="00566D05">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TEEA-JDC-108/2021 </w:t>
            </w:r>
          </w:p>
        </w:tc>
        <w:tc>
          <w:tcPr>
            <w:tcW w:w="2977" w:type="dxa"/>
          </w:tcPr>
          <w:p w14:paraId="3E7F6DBC" w14:textId="29496FD4" w:rsidR="00134139" w:rsidRPr="00E50B28" w:rsidRDefault="00134139" w:rsidP="00A509B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16 de abril</w:t>
            </w:r>
          </w:p>
        </w:tc>
      </w:tr>
      <w:tr w:rsidR="00134139" w:rsidRPr="00E50B28" w14:paraId="253567E4" w14:textId="77777777" w:rsidTr="00E50B2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3C8EBDE7" w14:textId="77777777" w:rsidR="00134139" w:rsidRPr="00E50B28" w:rsidRDefault="00134139" w:rsidP="00566D05">
            <w:pPr>
              <w:pStyle w:val="Prrafodelista"/>
              <w:ind w:left="0"/>
              <w:rPr>
                <w:rFonts w:ascii="Arial Nova Light" w:hAnsi="Arial Nova Light"/>
                <w:b w:val="0"/>
                <w:sz w:val="20"/>
                <w:szCs w:val="20"/>
              </w:rPr>
            </w:pPr>
            <w:r w:rsidRPr="00E50B28">
              <w:rPr>
                <w:rFonts w:ascii="Arial Nova Light" w:hAnsi="Arial Nova Light"/>
                <w:b w:val="0"/>
                <w:sz w:val="20"/>
                <w:szCs w:val="20"/>
              </w:rPr>
              <w:t xml:space="preserve">TEEA-JDC-109/2021 </w:t>
            </w:r>
          </w:p>
        </w:tc>
        <w:tc>
          <w:tcPr>
            <w:tcW w:w="2977" w:type="dxa"/>
          </w:tcPr>
          <w:p w14:paraId="4B182B3F" w14:textId="1299703A" w:rsidR="00134139" w:rsidRPr="00E50B28" w:rsidRDefault="00134139" w:rsidP="00A509B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16 de abril</w:t>
            </w:r>
          </w:p>
        </w:tc>
      </w:tr>
      <w:tr w:rsidR="00134139" w:rsidRPr="00E50B28" w14:paraId="0B3B4119" w14:textId="77777777" w:rsidTr="00E50B28">
        <w:trPr>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0CECE" w:themeFill="background2" w:themeFillShade="E6"/>
          </w:tcPr>
          <w:p w14:paraId="0CDF4BDB" w14:textId="77777777" w:rsidR="00134139" w:rsidRPr="00E50B28" w:rsidRDefault="00134139" w:rsidP="00566D05">
            <w:pPr>
              <w:pStyle w:val="Prrafodelista"/>
              <w:ind w:left="0"/>
              <w:rPr>
                <w:rFonts w:ascii="Arial Nova Light" w:hAnsi="Arial Nova Light"/>
                <w:b w:val="0"/>
                <w:sz w:val="20"/>
                <w:szCs w:val="20"/>
              </w:rPr>
            </w:pPr>
            <w:r w:rsidRPr="00E50B28">
              <w:rPr>
                <w:rFonts w:ascii="Arial Nova Light" w:hAnsi="Arial Nova Light"/>
                <w:b w:val="0"/>
                <w:sz w:val="20"/>
                <w:szCs w:val="20"/>
              </w:rPr>
              <w:t>TEEA-JDC-110/2021</w:t>
            </w:r>
          </w:p>
        </w:tc>
        <w:tc>
          <w:tcPr>
            <w:tcW w:w="2977" w:type="dxa"/>
          </w:tcPr>
          <w:p w14:paraId="6D6DC29C" w14:textId="39668898" w:rsidR="00134139" w:rsidRPr="00E50B28" w:rsidRDefault="00134139" w:rsidP="00A509B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sz w:val="20"/>
                <w:szCs w:val="20"/>
              </w:rPr>
            </w:pPr>
            <w:r w:rsidRPr="00E50B28">
              <w:rPr>
                <w:rFonts w:ascii="Arial Nova Light" w:hAnsi="Arial Nova Light"/>
                <w:sz w:val="20"/>
                <w:szCs w:val="20"/>
              </w:rPr>
              <w:t>16 de abril</w:t>
            </w:r>
          </w:p>
        </w:tc>
      </w:tr>
    </w:tbl>
    <w:p w14:paraId="44E47938" w14:textId="77777777" w:rsidR="00134139" w:rsidRPr="00126723" w:rsidRDefault="00134139" w:rsidP="009A54F1">
      <w:pPr>
        <w:pStyle w:val="Estilo"/>
        <w:spacing w:line="360" w:lineRule="auto"/>
        <w:rPr>
          <w:rFonts w:ascii="Arial Nova Light" w:hAnsi="Arial Nova Light" w:cs="Arial"/>
          <w:szCs w:val="24"/>
        </w:rPr>
      </w:pPr>
    </w:p>
    <w:p w14:paraId="06B609F6" w14:textId="4D88EA6B" w:rsidR="009A54F1" w:rsidRPr="00126723" w:rsidRDefault="00A509B3" w:rsidP="009A54F1">
      <w:pPr>
        <w:pStyle w:val="Estilo"/>
        <w:spacing w:line="360" w:lineRule="auto"/>
        <w:rPr>
          <w:rFonts w:ascii="Arial Nova Light" w:hAnsi="Arial Nova Light"/>
          <w:szCs w:val="24"/>
        </w:rPr>
      </w:pPr>
      <w:r w:rsidRPr="00126723">
        <w:rPr>
          <w:rFonts w:ascii="Arial Nova Light" w:hAnsi="Arial Nova Light"/>
          <w:szCs w:val="24"/>
        </w:rPr>
        <w:t xml:space="preserve">Por tanto, los juicios ciudadanos fueron oportunamente presentados dentro del plazo previsto de cuatro días. </w:t>
      </w:r>
    </w:p>
    <w:p w14:paraId="1895F798" w14:textId="77777777" w:rsidR="00A509B3" w:rsidRPr="00126723" w:rsidRDefault="00A509B3" w:rsidP="009A54F1">
      <w:pPr>
        <w:pStyle w:val="Estilo"/>
        <w:spacing w:line="360" w:lineRule="auto"/>
        <w:rPr>
          <w:rFonts w:ascii="Arial Nova Light" w:hAnsi="Arial Nova Light"/>
          <w:szCs w:val="24"/>
        </w:rPr>
      </w:pPr>
    </w:p>
    <w:p w14:paraId="10A8CBA8" w14:textId="5F016D88" w:rsidR="009A54F1" w:rsidRPr="00126723" w:rsidRDefault="009A54F1" w:rsidP="009A54F1">
      <w:pPr>
        <w:pStyle w:val="Estilo"/>
        <w:spacing w:line="360" w:lineRule="auto"/>
        <w:rPr>
          <w:rFonts w:ascii="Arial Nova Light" w:hAnsi="Arial Nova Light"/>
          <w:szCs w:val="24"/>
        </w:rPr>
      </w:pPr>
      <w:r w:rsidRPr="00126723">
        <w:rPr>
          <w:rFonts w:ascii="Arial Nova Light" w:hAnsi="Arial Nova Light"/>
          <w:b/>
          <w:bCs/>
          <w:szCs w:val="24"/>
        </w:rPr>
        <w:lastRenderedPageBreak/>
        <w:t>c) Legitimación y Personería.</w:t>
      </w:r>
      <w:r w:rsidRPr="00126723">
        <w:rPr>
          <w:rFonts w:ascii="Arial Nova Light" w:hAnsi="Arial Nova Light"/>
          <w:szCs w:val="24"/>
        </w:rPr>
        <w:t xml:space="preserve"> </w:t>
      </w:r>
      <w:r w:rsidR="00D636A1" w:rsidRPr="00126723">
        <w:rPr>
          <w:rFonts w:ascii="Arial Nova Light" w:hAnsi="Arial Nova Light"/>
          <w:szCs w:val="24"/>
        </w:rPr>
        <w:t>Los</w:t>
      </w:r>
      <w:r w:rsidRPr="00126723">
        <w:rPr>
          <w:rFonts w:ascii="Arial Nova Light" w:hAnsi="Arial Nova Light"/>
          <w:szCs w:val="24"/>
        </w:rPr>
        <w:t xml:space="preserve"> JDC fue</w:t>
      </w:r>
      <w:r w:rsidR="00D636A1" w:rsidRPr="00126723">
        <w:rPr>
          <w:rFonts w:ascii="Arial Nova Light" w:hAnsi="Arial Nova Light"/>
          <w:szCs w:val="24"/>
        </w:rPr>
        <w:t>ron</w:t>
      </w:r>
      <w:r w:rsidRPr="00126723">
        <w:rPr>
          <w:rFonts w:ascii="Arial Nova Light" w:hAnsi="Arial Nova Light"/>
          <w:szCs w:val="24"/>
        </w:rPr>
        <w:t xml:space="preserve"> promovido</w:t>
      </w:r>
      <w:r w:rsidR="00D636A1" w:rsidRPr="00126723">
        <w:rPr>
          <w:rFonts w:ascii="Arial Nova Light" w:hAnsi="Arial Nova Light"/>
          <w:szCs w:val="24"/>
        </w:rPr>
        <w:t>s</w:t>
      </w:r>
      <w:r w:rsidRPr="00126723">
        <w:rPr>
          <w:rFonts w:ascii="Arial Nova Light" w:hAnsi="Arial Nova Light"/>
          <w:szCs w:val="24"/>
        </w:rPr>
        <w:t xml:space="preserve"> por </w:t>
      </w:r>
      <w:r w:rsidR="004F7261" w:rsidRPr="00126723">
        <w:rPr>
          <w:rFonts w:ascii="Arial Nova Light" w:hAnsi="Arial Nova Light"/>
          <w:szCs w:val="24"/>
        </w:rPr>
        <w:t>ciudadanos precandidatos y precandidatas</w:t>
      </w:r>
      <w:r w:rsidR="00994CFB" w:rsidRPr="00126723">
        <w:rPr>
          <w:rFonts w:ascii="Arial Nova Light" w:hAnsi="Arial Nova Light"/>
          <w:szCs w:val="24"/>
        </w:rPr>
        <w:t xml:space="preserve"> por el partido MORENA</w:t>
      </w:r>
      <w:r w:rsidRPr="00126723">
        <w:rPr>
          <w:rFonts w:ascii="Arial Nova Light" w:hAnsi="Arial Nova Light"/>
          <w:szCs w:val="24"/>
        </w:rPr>
        <w:t xml:space="preserve">, </w:t>
      </w:r>
      <w:r w:rsidRPr="00126723">
        <w:rPr>
          <w:rFonts w:ascii="Arial Nova Light" w:hAnsi="Arial Nova Light"/>
          <w:bCs/>
          <w:szCs w:val="24"/>
        </w:rPr>
        <w:t>personalidad que ha sido reconocida por la autoridad responsable</w:t>
      </w:r>
      <w:r w:rsidR="00994CFB" w:rsidRPr="00126723">
        <w:rPr>
          <w:rFonts w:ascii="Arial Nova Light" w:hAnsi="Arial Nova Light"/>
          <w:bCs/>
          <w:szCs w:val="24"/>
        </w:rPr>
        <w:t xml:space="preserve">. </w:t>
      </w:r>
    </w:p>
    <w:p w14:paraId="3699A2BB" w14:textId="77777777" w:rsidR="009A54F1" w:rsidRPr="00126723" w:rsidRDefault="009A54F1" w:rsidP="009A54F1">
      <w:pPr>
        <w:pStyle w:val="Estilo"/>
        <w:spacing w:line="360" w:lineRule="auto"/>
        <w:rPr>
          <w:rFonts w:ascii="Arial Nova Light" w:hAnsi="Arial Nova Light"/>
          <w:szCs w:val="24"/>
        </w:rPr>
      </w:pPr>
    </w:p>
    <w:p w14:paraId="3F04AA56" w14:textId="3316751C" w:rsidR="009A54F1" w:rsidRPr="00126723" w:rsidRDefault="009A54F1" w:rsidP="009A54F1">
      <w:pPr>
        <w:pStyle w:val="Estilo"/>
        <w:spacing w:line="360" w:lineRule="auto"/>
        <w:rPr>
          <w:rFonts w:ascii="Arial Nova Light" w:hAnsi="Arial Nova Light"/>
          <w:szCs w:val="24"/>
        </w:rPr>
      </w:pPr>
      <w:r w:rsidRPr="00126723">
        <w:rPr>
          <w:rFonts w:ascii="Arial Nova Light" w:hAnsi="Arial Nova Light"/>
          <w:b/>
          <w:bCs/>
          <w:szCs w:val="24"/>
        </w:rPr>
        <w:t>d) Interés Legítimo.</w:t>
      </w:r>
      <w:r w:rsidRPr="00126723">
        <w:rPr>
          <w:rFonts w:ascii="Arial Nova Light" w:hAnsi="Arial Nova Light"/>
          <w:szCs w:val="24"/>
        </w:rPr>
        <w:t xml:space="preserve"> Para este Tribunal, </w:t>
      </w:r>
      <w:r w:rsidRPr="00126723">
        <w:rPr>
          <w:rFonts w:ascii="Arial Nova Light" w:hAnsi="Arial Nova Light"/>
          <w:i/>
          <w:iCs/>
          <w:szCs w:val="24"/>
        </w:rPr>
        <w:t>contrario a lo que refiere la autoridad responsable</w:t>
      </w:r>
      <w:r w:rsidRPr="00126723">
        <w:rPr>
          <w:rFonts w:ascii="Arial Nova Light" w:hAnsi="Arial Nova Light"/>
          <w:szCs w:val="24"/>
        </w:rPr>
        <w:t xml:space="preserve">, </w:t>
      </w:r>
      <w:r w:rsidR="00CD6099" w:rsidRPr="00126723">
        <w:rPr>
          <w:rFonts w:ascii="Arial Nova Light" w:hAnsi="Arial Nova Light"/>
          <w:szCs w:val="24"/>
        </w:rPr>
        <w:t>quienes promueven</w:t>
      </w:r>
      <w:r w:rsidRPr="00126723">
        <w:rPr>
          <w:rFonts w:ascii="Arial Nova Light" w:hAnsi="Arial Nova Light"/>
          <w:szCs w:val="24"/>
        </w:rPr>
        <w:t xml:space="preserve"> tiene</w:t>
      </w:r>
      <w:r w:rsidR="00CD6099" w:rsidRPr="00126723">
        <w:rPr>
          <w:rFonts w:ascii="Arial Nova Light" w:hAnsi="Arial Nova Light"/>
          <w:szCs w:val="24"/>
        </w:rPr>
        <w:t>n</w:t>
      </w:r>
      <w:r w:rsidRPr="00126723">
        <w:rPr>
          <w:rFonts w:ascii="Arial Nova Light" w:hAnsi="Arial Nova Light"/>
          <w:szCs w:val="24"/>
        </w:rPr>
        <w:t xml:space="preserve"> interés legítimo por </w:t>
      </w:r>
      <w:r w:rsidR="00664CC0">
        <w:rPr>
          <w:rFonts w:ascii="Arial Nova Light" w:hAnsi="Arial Nova Light"/>
          <w:szCs w:val="24"/>
        </w:rPr>
        <w:t xml:space="preserve">ser </w:t>
      </w:r>
      <w:r w:rsidR="00065A9F">
        <w:rPr>
          <w:rFonts w:ascii="Arial Nova Light" w:hAnsi="Arial Nova Light"/>
          <w:szCs w:val="24"/>
        </w:rPr>
        <w:t xml:space="preserve">aspirantes a candidaturas locales en el presente proceso electoral concurrente 2020-2021. </w:t>
      </w:r>
    </w:p>
    <w:p w14:paraId="0DF77D59" w14:textId="77777777" w:rsidR="009A54F1" w:rsidRPr="00126723" w:rsidRDefault="009A54F1" w:rsidP="009A54F1">
      <w:pPr>
        <w:pStyle w:val="Estilo"/>
        <w:spacing w:line="360" w:lineRule="auto"/>
        <w:rPr>
          <w:rFonts w:ascii="Arial Nova Light" w:hAnsi="Arial Nova Light"/>
          <w:szCs w:val="24"/>
        </w:rPr>
      </w:pPr>
    </w:p>
    <w:p w14:paraId="6A907D98" w14:textId="21583BDE" w:rsidR="009A54F1" w:rsidRPr="00126723" w:rsidRDefault="009A54F1" w:rsidP="009A54F1">
      <w:pPr>
        <w:pStyle w:val="Estilo"/>
        <w:spacing w:line="360" w:lineRule="auto"/>
        <w:rPr>
          <w:rFonts w:ascii="Arial Nova Light" w:hAnsi="Arial Nova Light"/>
          <w:szCs w:val="24"/>
        </w:rPr>
      </w:pPr>
      <w:r w:rsidRPr="00126723">
        <w:rPr>
          <w:rFonts w:ascii="Arial Nova Light" w:hAnsi="Arial Nova Light"/>
          <w:b/>
          <w:bCs/>
          <w:szCs w:val="24"/>
        </w:rPr>
        <w:t>e) Definitividad.</w:t>
      </w:r>
      <w:r w:rsidRPr="00126723">
        <w:rPr>
          <w:rFonts w:ascii="Arial Nova Light" w:hAnsi="Arial Nova Light"/>
          <w:szCs w:val="24"/>
        </w:rPr>
        <w:t xml:space="preserve"> Se colma tal requisito, ya que, </w:t>
      </w:r>
      <w:r w:rsidR="00A84202" w:rsidRPr="00126723">
        <w:rPr>
          <w:rFonts w:ascii="Arial Nova Light" w:hAnsi="Arial Nova Light"/>
          <w:szCs w:val="24"/>
        </w:rPr>
        <w:t xml:space="preserve">tanto en los reglamentos partidistas como </w:t>
      </w:r>
      <w:r w:rsidRPr="00126723">
        <w:rPr>
          <w:rFonts w:ascii="Arial Nova Light" w:hAnsi="Arial Nova Light"/>
          <w:szCs w:val="24"/>
        </w:rPr>
        <w:t>en el Código Electoral, no se prevé medio de impugnación diverso por el que previamente se pueda combatir el acto que se impugna.</w:t>
      </w:r>
    </w:p>
    <w:p w14:paraId="50FD7D74" w14:textId="77777777" w:rsidR="00A84202" w:rsidRPr="00126723" w:rsidRDefault="00A84202" w:rsidP="009A54F1">
      <w:pPr>
        <w:pStyle w:val="Estilo"/>
        <w:spacing w:line="360" w:lineRule="auto"/>
        <w:rPr>
          <w:rFonts w:ascii="Arial Nova Light" w:hAnsi="Arial Nova Light"/>
          <w:szCs w:val="24"/>
        </w:rPr>
      </w:pPr>
    </w:p>
    <w:p w14:paraId="06B5232F" w14:textId="38231680" w:rsidR="0086107E" w:rsidRPr="00126723" w:rsidRDefault="009A54F1" w:rsidP="0086107E">
      <w:pPr>
        <w:pStyle w:val="Estilo"/>
        <w:numPr>
          <w:ilvl w:val="0"/>
          <w:numId w:val="35"/>
        </w:numPr>
        <w:spacing w:line="360" w:lineRule="auto"/>
        <w:ind w:left="0" w:firstLine="0"/>
        <w:rPr>
          <w:rFonts w:ascii="Arial Nova Light" w:hAnsi="Arial Nova Light"/>
          <w:szCs w:val="24"/>
        </w:rPr>
      </w:pPr>
      <w:r w:rsidRPr="00126723">
        <w:rPr>
          <w:rFonts w:ascii="Arial Nova Light" w:hAnsi="Arial Nova Light"/>
          <w:b/>
          <w:szCs w:val="24"/>
        </w:rPr>
        <w:t xml:space="preserve">AGRAVIOS. </w:t>
      </w:r>
      <w:r w:rsidR="0086107E" w:rsidRPr="00126723">
        <w:rPr>
          <w:rFonts w:ascii="Arial Nova Light" w:hAnsi="Arial Nova Light"/>
          <w:b/>
          <w:szCs w:val="24"/>
        </w:rPr>
        <w:t xml:space="preserve"> </w:t>
      </w:r>
      <w:bookmarkStart w:id="4" w:name="_Hlk66184976"/>
      <w:r w:rsidR="0086107E" w:rsidRPr="00126723">
        <w:rPr>
          <w:rFonts w:ascii="Arial Nova Light" w:hAnsi="Arial Nova Light"/>
          <w:bCs/>
          <w:szCs w:val="24"/>
        </w:rPr>
        <w:t xml:space="preserve">En cuanto a los agravios, </w:t>
      </w:r>
      <w:r w:rsidR="009635F5" w:rsidRPr="00126723">
        <w:rPr>
          <w:rFonts w:ascii="Arial Nova Light" w:hAnsi="Arial Nova Light"/>
          <w:bCs/>
          <w:szCs w:val="24"/>
        </w:rPr>
        <w:t>quienes</w:t>
      </w:r>
      <w:r w:rsidR="0086107E" w:rsidRPr="00126723">
        <w:rPr>
          <w:rFonts w:ascii="Arial Nova Light" w:hAnsi="Arial Nova Light"/>
          <w:bCs/>
          <w:szCs w:val="24"/>
        </w:rPr>
        <w:t xml:space="preserve"> promueven, señalan agravios idénticos, por lo que, a</w:t>
      </w:r>
      <w:r w:rsidR="0086107E" w:rsidRPr="00126723">
        <w:rPr>
          <w:rFonts w:ascii="Arial Nova Light" w:eastAsia="Arial Nova" w:hAnsi="Arial Nova Light" w:cs="Arial Nova"/>
          <w:szCs w:val="24"/>
        </w:rPr>
        <w:t xml:space="preserve"> fin de señalar de manera general los argumentos que hacen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bookmarkEnd w:id="4"/>
    <w:p w14:paraId="6E137B9E" w14:textId="77777777" w:rsidR="0086107E" w:rsidRPr="00126723" w:rsidRDefault="0086107E" w:rsidP="0086107E">
      <w:pPr>
        <w:pBdr>
          <w:top w:val="nil"/>
          <w:left w:val="nil"/>
          <w:bottom w:val="nil"/>
          <w:right w:val="nil"/>
          <w:between w:val="nil"/>
        </w:pBdr>
        <w:tabs>
          <w:tab w:val="left" w:pos="567"/>
        </w:tabs>
        <w:spacing w:after="0" w:line="360" w:lineRule="auto"/>
        <w:jc w:val="both"/>
        <w:rPr>
          <w:rFonts w:ascii="Arial Nova Light" w:eastAsia="Arial Nova" w:hAnsi="Arial Nova Light" w:cs="Arial Nova"/>
          <w:sz w:val="24"/>
          <w:szCs w:val="24"/>
        </w:rPr>
      </w:pPr>
    </w:p>
    <w:p w14:paraId="7C7A496A" w14:textId="77777777" w:rsidR="0086107E" w:rsidRPr="00126723" w:rsidRDefault="0086107E" w:rsidP="0086107E">
      <w:pPr>
        <w:pBdr>
          <w:top w:val="nil"/>
          <w:left w:val="nil"/>
          <w:bottom w:val="nil"/>
          <w:right w:val="nil"/>
          <w:between w:val="nil"/>
        </w:pBdr>
        <w:tabs>
          <w:tab w:val="left" w:pos="0"/>
        </w:tabs>
        <w:spacing w:after="0" w:line="360" w:lineRule="auto"/>
        <w:jc w:val="both"/>
        <w:rPr>
          <w:rFonts w:ascii="Arial Nova Light" w:eastAsia="Arial Nova" w:hAnsi="Arial Nova Light" w:cs="Arial Nova"/>
          <w:b/>
          <w:sz w:val="24"/>
          <w:szCs w:val="24"/>
        </w:rPr>
      </w:pPr>
      <w:bookmarkStart w:id="5" w:name="_Hlk66185257"/>
      <w:r w:rsidRPr="00126723">
        <w:rPr>
          <w:rFonts w:ascii="Arial Nova Light" w:eastAsia="Arial Nova" w:hAnsi="Arial Nova Light" w:cs="Arial Nova"/>
          <w:sz w:val="24"/>
          <w:szCs w:val="24"/>
        </w:rPr>
        <w:t xml:space="preserve">Entonces, es importante retomar lo que ha determinado la Sala de la SCJN en cuanto a la transcripción de los mismos, jurisprudencia número 2ª./J.58/2010, de rubro: </w:t>
      </w:r>
      <w:r w:rsidRPr="00126723">
        <w:rPr>
          <w:rFonts w:ascii="Arial Nova Light" w:eastAsia="Arial Nova" w:hAnsi="Arial Nova Light" w:cs="Arial Nova"/>
          <w:b/>
          <w:sz w:val="24"/>
          <w:szCs w:val="24"/>
        </w:rPr>
        <w:t>CONCEPTOS DE VIOLACIÓN O AGRAVIOS. PARA CUMPLIR CON LOS PRINCIPIOS DE CONGRUENCIA Y EXHAUSTIVIDAD EN LAS SENTENCIAS DE AMPARO ES INNECESARIA SU TRANSCRIPCIÓN</w:t>
      </w:r>
      <w:r w:rsidRPr="00126723">
        <w:rPr>
          <w:rFonts w:ascii="Arial Nova Light" w:eastAsia="Arial Nova" w:hAnsi="Arial Nova Light" w:cs="Arial Nova"/>
          <w:b/>
          <w:sz w:val="24"/>
          <w:szCs w:val="24"/>
          <w:vertAlign w:val="superscript"/>
        </w:rPr>
        <w:footnoteReference w:id="4"/>
      </w:r>
      <w:r w:rsidRPr="00126723">
        <w:rPr>
          <w:rFonts w:ascii="Arial Nova Light" w:eastAsia="Arial Nova" w:hAnsi="Arial Nova Light" w:cs="Arial Nova"/>
          <w:b/>
          <w:sz w:val="24"/>
          <w:szCs w:val="24"/>
        </w:rPr>
        <w:t xml:space="preserve">. </w:t>
      </w:r>
    </w:p>
    <w:bookmarkEnd w:id="5"/>
    <w:p w14:paraId="7A5F72CC" w14:textId="77777777" w:rsidR="0086107E" w:rsidRPr="00126723" w:rsidRDefault="0086107E" w:rsidP="0086107E">
      <w:pPr>
        <w:pStyle w:val="Estilo"/>
        <w:spacing w:line="360" w:lineRule="auto"/>
        <w:rPr>
          <w:rFonts w:ascii="Arial Nova Light" w:hAnsi="Arial Nova Light"/>
          <w:bCs/>
          <w:szCs w:val="24"/>
        </w:rPr>
      </w:pPr>
    </w:p>
    <w:p w14:paraId="3AC3EFB9" w14:textId="77777777" w:rsidR="0086107E" w:rsidRPr="00126723" w:rsidRDefault="0086107E" w:rsidP="0086107E">
      <w:pPr>
        <w:pStyle w:val="Estilo"/>
        <w:spacing w:line="360" w:lineRule="auto"/>
        <w:rPr>
          <w:rFonts w:ascii="Arial Nova Light" w:hAnsi="Arial Nova Light"/>
          <w:bCs/>
          <w:szCs w:val="24"/>
        </w:rPr>
      </w:pPr>
      <w:r w:rsidRPr="00126723">
        <w:rPr>
          <w:rFonts w:ascii="Arial Nova Light" w:hAnsi="Arial Nova Light"/>
          <w:bCs/>
          <w:szCs w:val="24"/>
        </w:rPr>
        <w:t xml:space="preserve">Cabe señalar que de conformidad con la jurisprudencia 3/2000, de rubro: </w:t>
      </w:r>
      <w:r w:rsidRPr="00126723">
        <w:rPr>
          <w:rFonts w:ascii="Arial Nova Light" w:hAnsi="Arial Nova Light"/>
          <w:b/>
          <w:szCs w:val="24"/>
        </w:rPr>
        <w:t>“AGRAVIOS. PARA TENERLOS POR DEBIDAMENTE CONFIGURADOS ES SUFICIENTE CON EXPRESAR LA CAUSA DE PEDIR”</w:t>
      </w:r>
      <w:r w:rsidRPr="00126723">
        <w:rPr>
          <w:rFonts w:ascii="Arial Nova Light" w:hAnsi="Arial Nova Light"/>
          <w:b/>
          <w:szCs w:val="24"/>
          <w:vertAlign w:val="superscript"/>
        </w:rPr>
        <w:t xml:space="preserve"> </w:t>
      </w:r>
      <w:r w:rsidRPr="00126723">
        <w:rPr>
          <w:rFonts w:ascii="Arial Nova Light" w:hAnsi="Arial Nova Light"/>
          <w:b/>
          <w:szCs w:val="24"/>
          <w:vertAlign w:val="superscript"/>
        </w:rPr>
        <w:footnoteReference w:id="5"/>
      </w:r>
      <w:r w:rsidRPr="00126723">
        <w:rPr>
          <w:rFonts w:ascii="Arial Nova Light" w:hAnsi="Arial Nova Light"/>
          <w:b/>
          <w:szCs w:val="24"/>
          <w:vertAlign w:val="superscript"/>
        </w:rPr>
        <w:t xml:space="preserve"> </w:t>
      </w:r>
      <w:r w:rsidRPr="00126723">
        <w:rPr>
          <w:rFonts w:ascii="Arial Nova Light" w:hAnsi="Arial Nova Light"/>
          <w:bCs/>
          <w:szCs w:val="24"/>
        </w:rPr>
        <w:t xml:space="preserve"> así como la diversa de rubro: </w:t>
      </w:r>
      <w:r w:rsidRPr="00126723">
        <w:rPr>
          <w:rFonts w:ascii="Arial Nova Light" w:hAnsi="Arial Nova Light"/>
          <w:b/>
          <w:bCs/>
          <w:szCs w:val="24"/>
        </w:rPr>
        <w:t>“DEMANDA. ESTUDIO INTEGRAL PARA DESENTRAÑAR LA CAUSA DE PEDIR”</w:t>
      </w:r>
      <w:r w:rsidRPr="00126723">
        <w:rPr>
          <w:rStyle w:val="Refdenotaalpie"/>
          <w:rFonts w:ascii="Arial Nova Light" w:hAnsi="Arial Nova Light" w:cs="Dubai Medium"/>
          <w:b/>
          <w:bCs/>
          <w:szCs w:val="24"/>
        </w:rPr>
        <w:footnoteReference w:id="6"/>
      </w:r>
      <w:r w:rsidRPr="00126723">
        <w:rPr>
          <w:rFonts w:ascii="Arial Nova Light" w:hAnsi="Arial Nova Light"/>
          <w:b/>
          <w:bCs/>
          <w:szCs w:val="24"/>
        </w:rPr>
        <w:t>,</w:t>
      </w:r>
      <w:r w:rsidRPr="00126723">
        <w:rPr>
          <w:rFonts w:ascii="Arial Nova Light" w:hAnsi="Arial Nova Light"/>
          <w:i/>
          <w:iCs/>
          <w:szCs w:val="24"/>
        </w:rPr>
        <w:t xml:space="preserve"> </w:t>
      </w:r>
      <w:r w:rsidRPr="00126723">
        <w:rPr>
          <w:rFonts w:ascii="Arial Nova Light" w:hAnsi="Arial Nova Light"/>
          <w:bCs/>
          <w:szCs w:val="24"/>
        </w:rPr>
        <w:t xml:space="preserve">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w:t>
      </w:r>
      <w:r w:rsidRPr="00126723">
        <w:rPr>
          <w:rFonts w:ascii="Arial Nova Light" w:hAnsi="Arial Nova Light"/>
          <w:bCs/>
          <w:szCs w:val="24"/>
        </w:rPr>
        <w:lastRenderedPageBreak/>
        <w:t xml:space="preserve">originaron ese agravio, para que, con base en ello se pueda advertir de manera plena lo realmente planteado. </w:t>
      </w:r>
    </w:p>
    <w:p w14:paraId="09D0708A" w14:textId="77777777" w:rsidR="0086107E" w:rsidRPr="00126723" w:rsidRDefault="0086107E" w:rsidP="0086107E">
      <w:pPr>
        <w:pStyle w:val="Estilo"/>
        <w:spacing w:line="360" w:lineRule="auto"/>
        <w:rPr>
          <w:rFonts w:ascii="Arial Nova Light" w:hAnsi="Arial Nova Light"/>
          <w:bCs/>
          <w:szCs w:val="24"/>
        </w:rPr>
      </w:pPr>
    </w:p>
    <w:p w14:paraId="1C7A19EE" w14:textId="5F1AD21F" w:rsidR="0086107E" w:rsidRPr="00126723" w:rsidRDefault="0086107E" w:rsidP="0086107E">
      <w:pPr>
        <w:pStyle w:val="Estilo"/>
        <w:spacing w:line="360" w:lineRule="auto"/>
        <w:rPr>
          <w:rFonts w:ascii="Arial Nova Light" w:hAnsi="Arial Nova Light"/>
          <w:bCs/>
          <w:szCs w:val="24"/>
        </w:rPr>
      </w:pPr>
      <w:r w:rsidRPr="00126723">
        <w:rPr>
          <w:rFonts w:ascii="Arial Nova Light" w:hAnsi="Arial Nova Light"/>
          <w:bCs/>
          <w:szCs w:val="24"/>
        </w:rPr>
        <w:t>De igual manera, debe subrayarse que, al tratarse de J</w:t>
      </w:r>
      <w:r w:rsidR="00C56E47" w:rsidRPr="00126723">
        <w:rPr>
          <w:rFonts w:ascii="Arial Nova Light" w:hAnsi="Arial Nova Light"/>
          <w:bCs/>
          <w:szCs w:val="24"/>
        </w:rPr>
        <w:t>uicios Ciudadanos</w:t>
      </w:r>
      <w:r w:rsidRPr="00126723">
        <w:rPr>
          <w:rFonts w:ascii="Arial Nova Light" w:hAnsi="Arial Nova Light"/>
          <w:bCs/>
          <w:szCs w:val="24"/>
        </w:rPr>
        <w:t>, debe suplirse la deficiencia de la queja en la exposición de los agravios, siempre y cuando ellos puedan deducirse claramente de los hechos expuestos.</w:t>
      </w:r>
    </w:p>
    <w:p w14:paraId="134170FE" w14:textId="77777777" w:rsidR="0086107E" w:rsidRPr="00126723" w:rsidRDefault="0086107E" w:rsidP="0086107E">
      <w:pPr>
        <w:pStyle w:val="Estilo"/>
        <w:spacing w:line="360" w:lineRule="auto"/>
        <w:rPr>
          <w:rFonts w:ascii="Arial Nova Light" w:hAnsi="Arial Nova Light"/>
          <w:bCs/>
          <w:szCs w:val="24"/>
        </w:rPr>
      </w:pPr>
    </w:p>
    <w:p w14:paraId="0E8052F5" w14:textId="45D040F5" w:rsidR="00A36BE0" w:rsidRPr="00126723" w:rsidRDefault="0086107E" w:rsidP="00472715">
      <w:pPr>
        <w:pStyle w:val="Estilo"/>
        <w:spacing w:line="360" w:lineRule="auto"/>
        <w:rPr>
          <w:rFonts w:ascii="Arial Nova Light" w:hAnsi="Arial Nova Light"/>
          <w:bCs/>
          <w:szCs w:val="24"/>
        </w:rPr>
      </w:pPr>
      <w:r w:rsidRPr="00126723">
        <w:rPr>
          <w:rFonts w:ascii="Arial Nova Light" w:hAnsi="Arial Nova Light"/>
          <w:b/>
          <w:szCs w:val="24"/>
        </w:rPr>
        <w:t xml:space="preserve">SÍNTESIS DE LOS AGRAVIOS. </w:t>
      </w:r>
      <w:r w:rsidR="000C3632" w:rsidRPr="00126723">
        <w:rPr>
          <w:rFonts w:ascii="Arial Nova Light" w:hAnsi="Arial Nova Light"/>
          <w:b/>
          <w:szCs w:val="24"/>
        </w:rPr>
        <w:t xml:space="preserve"> </w:t>
      </w:r>
      <w:r w:rsidR="000C3632" w:rsidRPr="00126723">
        <w:rPr>
          <w:rFonts w:ascii="Arial Nova Light" w:hAnsi="Arial Nova Light"/>
          <w:bCs/>
          <w:szCs w:val="24"/>
        </w:rPr>
        <w:t xml:space="preserve">Las y los promoventes en sus escritos de demanda hacen valer agravios idénticos, </w:t>
      </w:r>
      <w:r w:rsidR="00472715" w:rsidRPr="00126723">
        <w:rPr>
          <w:rFonts w:ascii="Arial Nova Light" w:hAnsi="Arial Nova Light"/>
          <w:bCs/>
          <w:szCs w:val="24"/>
        </w:rPr>
        <w:t>por lo</w:t>
      </w:r>
      <w:r w:rsidR="00485BEB" w:rsidRPr="00126723">
        <w:rPr>
          <w:rFonts w:ascii="Arial Nova Light" w:hAnsi="Arial Nova Light"/>
          <w:bCs/>
          <w:szCs w:val="24"/>
        </w:rPr>
        <w:t xml:space="preserve"> que se hará una síntesis de los mismos</w:t>
      </w:r>
      <w:r w:rsidR="004E6F31" w:rsidRPr="00126723">
        <w:rPr>
          <w:rFonts w:ascii="Arial Nova Light" w:hAnsi="Arial Nova Light"/>
          <w:bCs/>
          <w:szCs w:val="24"/>
        </w:rPr>
        <w:t>.</w:t>
      </w:r>
    </w:p>
    <w:p w14:paraId="6158E3DF" w14:textId="2A2ADF4B" w:rsidR="004E6F31" w:rsidRPr="00126723" w:rsidRDefault="004E6F31" w:rsidP="00472715">
      <w:pPr>
        <w:pStyle w:val="Estilo"/>
        <w:spacing w:line="360" w:lineRule="auto"/>
        <w:rPr>
          <w:rFonts w:ascii="Arial Nova Light" w:hAnsi="Arial Nova Light"/>
          <w:bCs/>
          <w:szCs w:val="24"/>
        </w:rPr>
      </w:pPr>
    </w:p>
    <w:p w14:paraId="49C50EB2" w14:textId="79DF10AA" w:rsidR="004E6F31" w:rsidRPr="00126723" w:rsidRDefault="004E6F31" w:rsidP="00472715">
      <w:pPr>
        <w:pStyle w:val="Estilo"/>
        <w:spacing w:line="360" w:lineRule="auto"/>
        <w:rPr>
          <w:rFonts w:ascii="Arial Nova Light" w:hAnsi="Arial Nova Light"/>
          <w:bCs/>
          <w:szCs w:val="24"/>
        </w:rPr>
      </w:pPr>
      <w:r w:rsidRPr="00126723">
        <w:rPr>
          <w:rFonts w:ascii="Arial Nova Light" w:hAnsi="Arial Nova Light"/>
          <w:bCs/>
          <w:szCs w:val="24"/>
        </w:rPr>
        <w:t xml:space="preserve">En ese entendimiento los promoventes señalan: </w:t>
      </w:r>
    </w:p>
    <w:tbl>
      <w:tblPr>
        <w:tblStyle w:val="Tablaconcuadrcula1clara"/>
        <w:tblW w:w="9639" w:type="dxa"/>
        <w:jc w:val="center"/>
        <w:tblLook w:val="04A0" w:firstRow="1" w:lastRow="0" w:firstColumn="1" w:lastColumn="0" w:noHBand="0" w:noVBand="1"/>
      </w:tblPr>
      <w:tblGrid>
        <w:gridCol w:w="1280"/>
        <w:gridCol w:w="1886"/>
        <w:gridCol w:w="6473"/>
      </w:tblGrid>
      <w:tr w:rsidR="004E6F31" w:rsidRPr="00343C0E" w14:paraId="255C23BB" w14:textId="77777777" w:rsidTr="00E50B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0" w:type="dxa"/>
          </w:tcPr>
          <w:p w14:paraId="3380F2FE" w14:textId="77777777" w:rsidR="004E6F31" w:rsidRPr="00343C0E" w:rsidRDefault="004E6F31" w:rsidP="00566D05">
            <w:pPr>
              <w:jc w:val="center"/>
              <w:rPr>
                <w:rFonts w:ascii="Arial Nova Light" w:hAnsi="Arial Nova Light" w:cs="Arial"/>
                <w:sz w:val="20"/>
                <w:szCs w:val="20"/>
              </w:rPr>
            </w:pPr>
            <w:r w:rsidRPr="00343C0E">
              <w:rPr>
                <w:rFonts w:ascii="Arial Nova Light" w:hAnsi="Arial Nova Light" w:cs="Arial"/>
                <w:sz w:val="20"/>
                <w:szCs w:val="20"/>
              </w:rPr>
              <w:t>Expediente</w:t>
            </w:r>
          </w:p>
        </w:tc>
        <w:tc>
          <w:tcPr>
            <w:tcW w:w="1886" w:type="dxa"/>
            <w:shd w:val="clear" w:color="auto" w:fill="D0CECE" w:themeFill="background2" w:themeFillShade="E6"/>
          </w:tcPr>
          <w:p w14:paraId="74F6CC9E" w14:textId="77777777" w:rsidR="004E6F31" w:rsidRPr="00343C0E" w:rsidRDefault="004E6F31" w:rsidP="00566D05">
            <w:pPr>
              <w:jc w:val="center"/>
              <w:cnfStyle w:val="100000000000" w:firstRow="1"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Promovente</w:t>
            </w:r>
          </w:p>
        </w:tc>
        <w:tc>
          <w:tcPr>
            <w:tcW w:w="6473" w:type="dxa"/>
          </w:tcPr>
          <w:p w14:paraId="3B14BB24" w14:textId="77777777" w:rsidR="004E6F31" w:rsidRPr="00343C0E" w:rsidRDefault="004E6F31" w:rsidP="00566D05">
            <w:pPr>
              <w:jc w:val="center"/>
              <w:cnfStyle w:val="100000000000" w:firstRow="1"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Agravios</w:t>
            </w:r>
          </w:p>
        </w:tc>
      </w:tr>
      <w:tr w:rsidR="004E6F31" w:rsidRPr="00343C0E" w14:paraId="35FFE538" w14:textId="77777777" w:rsidTr="00E50B28">
        <w:trPr>
          <w:jc w:val="center"/>
        </w:trPr>
        <w:tc>
          <w:tcPr>
            <w:cnfStyle w:val="001000000000" w:firstRow="0" w:lastRow="0" w:firstColumn="1" w:lastColumn="0" w:oddVBand="0" w:evenVBand="0" w:oddHBand="0" w:evenHBand="0" w:firstRowFirstColumn="0" w:firstRowLastColumn="0" w:lastRowFirstColumn="0" w:lastRowLastColumn="0"/>
            <w:tcW w:w="1280" w:type="dxa"/>
          </w:tcPr>
          <w:p w14:paraId="7D36BBD6" w14:textId="77777777" w:rsidR="004E6F31" w:rsidRPr="00343C0E" w:rsidRDefault="004E6F31" w:rsidP="00566D05">
            <w:pPr>
              <w:jc w:val="both"/>
              <w:rPr>
                <w:rFonts w:ascii="Arial Nova Light" w:hAnsi="Arial Nova Light" w:cs="Arial"/>
                <w:sz w:val="20"/>
                <w:szCs w:val="20"/>
              </w:rPr>
            </w:pPr>
            <w:r w:rsidRPr="00343C0E">
              <w:rPr>
                <w:rFonts w:ascii="Arial Nova Light" w:hAnsi="Arial Nova Light" w:cs="Arial"/>
                <w:sz w:val="20"/>
                <w:szCs w:val="20"/>
              </w:rPr>
              <w:t>TEEA-JDC-105/2021.</w:t>
            </w:r>
          </w:p>
          <w:p w14:paraId="4B13AA08" w14:textId="4BF8A0BF" w:rsidR="00A720F1" w:rsidRPr="00343C0E" w:rsidRDefault="00A720F1" w:rsidP="00566D05">
            <w:pPr>
              <w:jc w:val="both"/>
              <w:rPr>
                <w:rFonts w:ascii="Arial Nova Light" w:hAnsi="Arial Nova Light" w:cs="Arial"/>
                <w:sz w:val="20"/>
                <w:szCs w:val="20"/>
              </w:rPr>
            </w:pPr>
            <w:r w:rsidRPr="00343C0E">
              <w:rPr>
                <w:rFonts w:ascii="Arial Nova Light" w:hAnsi="Arial Nova Light" w:cs="Arial"/>
                <w:sz w:val="20"/>
                <w:szCs w:val="20"/>
              </w:rPr>
              <w:t>TEEA-JDC-106/2021.</w:t>
            </w:r>
          </w:p>
          <w:p w14:paraId="1C3B8C91" w14:textId="48799777" w:rsidR="00492295" w:rsidRPr="00343C0E" w:rsidRDefault="00492295" w:rsidP="00566D05">
            <w:pPr>
              <w:jc w:val="both"/>
              <w:rPr>
                <w:rFonts w:ascii="Arial Nova Light" w:hAnsi="Arial Nova Light" w:cs="Arial"/>
                <w:sz w:val="20"/>
                <w:szCs w:val="20"/>
              </w:rPr>
            </w:pPr>
            <w:r w:rsidRPr="00343C0E">
              <w:rPr>
                <w:rFonts w:ascii="Arial Nova Light" w:hAnsi="Arial Nova Light" w:cs="Arial"/>
                <w:sz w:val="20"/>
                <w:szCs w:val="20"/>
              </w:rPr>
              <w:t>TEEA-JDC-107/2021.</w:t>
            </w:r>
          </w:p>
          <w:p w14:paraId="2889C5E4" w14:textId="77777777" w:rsidR="00492295" w:rsidRPr="00343C0E" w:rsidRDefault="00492295" w:rsidP="00566D05">
            <w:pPr>
              <w:jc w:val="both"/>
              <w:rPr>
                <w:rFonts w:ascii="Arial Nova Light" w:hAnsi="Arial Nova Light" w:cs="Arial"/>
                <w:sz w:val="20"/>
                <w:szCs w:val="20"/>
              </w:rPr>
            </w:pPr>
          </w:p>
          <w:p w14:paraId="5AD373A1" w14:textId="21295E4E" w:rsidR="00A720F1" w:rsidRPr="00343C0E" w:rsidRDefault="00A720F1" w:rsidP="00566D05">
            <w:pPr>
              <w:jc w:val="both"/>
              <w:rPr>
                <w:rFonts w:ascii="Arial Nova Light" w:hAnsi="Arial Nova Light" w:cs="Arial"/>
                <w:sz w:val="20"/>
                <w:szCs w:val="20"/>
              </w:rPr>
            </w:pPr>
          </w:p>
        </w:tc>
        <w:tc>
          <w:tcPr>
            <w:tcW w:w="1886" w:type="dxa"/>
            <w:shd w:val="clear" w:color="auto" w:fill="D0CECE" w:themeFill="background2" w:themeFillShade="E6"/>
          </w:tcPr>
          <w:p w14:paraId="07B7BBB6" w14:textId="77777777" w:rsidR="004E6F31" w:rsidRPr="00343C0E" w:rsidRDefault="004E6F31"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C. Octavio Morales López.</w:t>
            </w:r>
          </w:p>
          <w:p w14:paraId="1CEBC7F6" w14:textId="77777777" w:rsidR="00A720F1" w:rsidRPr="00343C0E" w:rsidRDefault="00A720F1"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C. Marco Antonio Martínez Proa.</w:t>
            </w:r>
          </w:p>
          <w:p w14:paraId="7D07D841" w14:textId="1C62E9DB" w:rsidR="00492295" w:rsidRPr="00343C0E" w:rsidRDefault="00492295"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C. Isabel Sotomayor Barrionuevo.</w:t>
            </w:r>
          </w:p>
        </w:tc>
        <w:tc>
          <w:tcPr>
            <w:tcW w:w="6473" w:type="dxa"/>
          </w:tcPr>
          <w:p w14:paraId="31001D9D" w14:textId="0B7B79A5" w:rsidR="004E6F31" w:rsidRPr="00343C0E" w:rsidRDefault="004E6F31"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 xml:space="preserve">1. </w:t>
            </w:r>
            <w:r w:rsidR="00492295" w:rsidRPr="00343C0E">
              <w:rPr>
                <w:rFonts w:ascii="Arial Nova Light" w:hAnsi="Arial Nova Light" w:cs="Arial"/>
                <w:sz w:val="20"/>
                <w:szCs w:val="20"/>
              </w:rPr>
              <w:t xml:space="preserve">Se duelen de la </w:t>
            </w:r>
            <w:r w:rsidR="00EB1055" w:rsidRPr="00343C0E">
              <w:rPr>
                <w:rFonts w:ascii="Arial Nova Light" w:hAnsi="Arial Nova Light" w:cs="Arial"/>
                <w:sz w:val="20"/>
                <w:szCs w:val="20"/>
              </w:rPr>
              <w:t>Falta</w:t>
            </w:r>
            <w:r w:rsidRPr="00343C0E">
              <w:rPr>
                <w:rFonts w:ascii="Arial Nova Light" w:hAnsi="Arial Nova Light" w:cs="Arial"/>
                <w:sz w:val="20"/>
                <w:szCs w:val="20"/>
              </w:rPr>
              <w:t xml:space="preserve"> de certeza jurídica, </w:t>
            </w:r>
            <w:r w:rsidR="00EB1055" w:rsidRPr="00343C0E">
              <w:rPr>
                <w:rFonts w:ascii="Arial Nova Light" w:hAnsi="Arial Nova Light" w:cs="Arial"/>
                <w:sz w:val="20"/>
                <w:szCs w:val="20"/>
              </w:rPr>
              <w:t>al considerar que erróneamente</w:t>
            </w:r>
            <w:r w:rsidRPr="00343C0E">
              <w:rPr>
                <w:rFonts w:ascii="Arial Nova Light" w:hAnsi="Arial Nova Light" w:cs="Arial"/>
                <w:sz w:val="20"/>
                <w:szCs w:val="20"/>
              </w:rPr>
              <w:t xml:space="preserve"> que la CNHJ pretende darle tramitación como si se tratase de un Procedimiento Especial Sancionador, cuando la naturaleza del mismo </w:t>
            </w:r>
            <w:r w:rsidR="00626EA4" w:rsidRPr="00343C0E">
              <w:rPr>
                <w:rFonts w:ascii="Arial Nova Light" w:hAnsi="Arial Nova Light" w:cs="Arial"/>
                <w:sz w:val="20"/>
                <w:szCs w:val="20"/>
              </w:rPr>
              <w:t>es</w:t>
            </w:r>
            <w:r w:rsidRPr="00343C0E">
              <w:rPr>
                <w:rFonts w:ascii="Arial Nova Light" w:hAnsi="Arial Nova Light" w:cs="Arial"/>
                <w:sz w:val="20"/>
                <w:szCs w:val="20"/>
              </w:rPr>
              <w:t xml:space="preserve"> un juicio para la protección de los derechos político-electorales del ciudadano.</w:t>
            </w:r>
          </w:p>
          <w:p w14:paraId="73335F56" w14:textId="16FB83B0" w:rsidR="004E6F31" w:rsidRPr="00343C0E" w:rsidRDefault="004E6F31"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2. Argumenta</w:t>
            </w:r>
            <w:r w:rsidR="00492295" w:rsidRPr="00343C0E">
              <w:rPr>
                <w:rFonts w:ascii="Arial Nova Light" w:hAnsi="Arial Nova Light" w:cs="Arial"/>
                <w:sz w:val="20"/>
                <w:szCs w:val="20"/>
              </w:rPr>
              <w:t>n</w:t>
            </w:r>
            <w:r w:rsidRPr="00343C0E">
              <w:rPr>
                <w:rFonts w:ascii="Arial Nova Light" w:hAnsi="Arial Nova Light" w:cs="Arial"/>
                <w:sz w:val="20"/>
                <w:szCs w:val="20"/>
              </w:rPr>
              <w:t xml:space="preserve"> una indebida fundamentación y motivación del acuerdo de improcedencia dictado por la CNHJ</w:t>
            </w:r>
            <w:r w:rsidR="00626EA4" w:rsidRPr="00343C0E">
              <w:rPr>
                <w:rFonts w:ascii="Arial Nova Light" w:hAnsi="Arial Nova Light" w:cs="Arial"/>
                <w:sz w:val="20"/>
                <w:szCs w:val="20"/>
              </w:rPr>
              <w:t xml:space="preserve">, pues a su juicio, </w:t>
            </w:r>
            <w:r w:rsidRPr="00343C0E">
              <w:rPr>
                <w:rFonts w:ascii="Arial Nova Light" w:hAnsi="Arial Nova Light" w:cs="Arial"/>
                <w:sz w:val="20"/>
                <w:szCs w:val="20"/>
              </w:rPr>
              <w:t xml:space="preserve">de manera arbitraria señaló que el acto impugnado fue la convocatoria a los procesos internos de selección, cuando a su dicho, realmente impugnó actos diferentes de la CNE y del IEE. </w:t>
            </w:r>
            <w:r w:rsidR="00626EA4" w:rsidRPr="00343C0E">
              <w:rPr>
                <w:rFonts w:ascii="Arial Nova Light" w:hAnsi="Arial Nova Light" w:cs="Arial"/>
                <w:sz w:val="20"/>
                <w:szCs w:val="20"/>
              </w:rPr>
              <w:t xml:space="preserve">  </w:t>
            </w:r>
            <w:r w:rsidRPr="00343C0E">
              <w:rPr>
                <w:rFonts w:ascii="Arial Nova Light" w:hAnsi="Arial Nova Light" w:cs="Arial"/>
                <w:sz w:val="20"/>
                <w:szCs w:val="20"/>
              </w:rPr>
              <w:t xml:space="preserve">Así, </w:t>
            </w:r>
            <w:r w:rsidR="00A80377" w:rsidRPr="00343C0E">
              <w:rPr>
                <w:rFonts w:ascii="Arial Nova Light" w:hAnsi="Arial Nova Light" w:cs="Arial"/>
                <w:sz w:val="20"/>
                <w:szCs w:val="20"/>
              </w:rPr>
              <w:t>los promoventes</w:t>
            </w:r>
            <w:r w:rsidRPr="00343C0E">
              <w:rPr>
                <w:rFonts w:ascii="Arial Nova Light" w:hAnsi="Arial Nova Light" w:cs="Arial"/>
                <w:sz w:val="20"/>
                <w:szCs w:val="20"/>
              </w:rPr>
              <w:t xml:space="preserve"> considera</w:t>
            </w:r>
            <w:r w:rsidR="00A80377" w:rsidRPr="00343C0E">
              <w:rPr>
                <w:rFonts w:ascii="Arial Nova Light" w:hAnsi="Arial Nova Light" w:cs="Arial"/>
                <w:sz w:val="20"/>
                <w:szCs w:val="20"/>
              </w:rPr>
              <w:t>n</w:t>
            </w:r>
            <w:r w:rsidRPr="00343C0E">
              <w:rPr>
                <w:rFonts w:ascii="Arial Nova Light" w:hAnsi="Arial Nova Light" w:cs="Arial"/>
                <w:sz w:val="20"/>
                <w:szCs w:val="20"/>
              </w:rPr>
              <w:t xml:space="preserve"> que la responsable dilata el proceso para no entrar al estudio de fondo del asunto.</w:t>
            </w:r>
          </w:p>
          <w:p w14:paraId="14DD58E3" w14:textId="59C87239" w:rsidR="004E6F31" w:rsidRPr="00343C0E" w:rsidRDefault="004E6F31"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3. Advierte</w:t>
            </w:r>
            <w:r w:rsidR="00492295" w:rsidRPr="00343C0E">
              <w:rPr>
                <w:rFonts w:ascii="Arial Nova Light" w:hAnsi="Arial Nova Light" w:cs="Arial"/>
                <w:sz w:val="20"/>
                <w:szCs w:val="20"/>
              </w:rPr>
              <w:t>n</w:t>
            </w:r>
            <w:r w:rsidRPr="00343C0E">
              <w:rPr>
                <w:rFonts w:ascii="Arial Nova Light" w:hAnsi="Arial Nova Light" w:cs="Arial"/>
                <w:sz w:val="20"/>
                <w:szCs w:val="20"/>
              </w:rPr>
              <w:t xml:space="preserve"> que la CNHJ no se ha pronunciado respecto </w:t>
            </w:r>
            <w:r w:rsidR="00A80377" w:rsidRPr="00343C0E">
              <w:rPr>
                <w:rFonts w:ascii="Arial Nova Light" w:hAnsi="Arial Nova Light" w:cs="Arial"/>
                <w:sz w:val="20"/>
                <w:szCs w:val="20"/>
              </w:rPr>
              <w:t xml:space="preserve">a </w:t>
            </w:r>
            <w:r w:rsidRPr="00343C0E">
              <w:rPr>
                <w:rFonts w:ascii="Arial Nova Light" w:hAnsi="Arial Nova Light" w:cs="Arial"/>
                <w:sz w:val="20"/>
                <w:szCs w:val="20"/>
              </w:rPr>
              <w:t>la “RELACIÓN DE SOLICITUDES DE REGISTRO APROBADAS EN LOS PROCESOS INTERNOS PARA LA SELECCIÓN DE CANDIDATURAS PARA: PRESIDENCIAS MUNICIPALES, DIPUTACIONES POR EL PRINCIPIO DE MAYORÍA RELATIVA, SINDICATURAS Y REGIDURÍAS EN EL ESTADO DE AGUASCALIENTES PARA EL PROCESO ELECTORAL 2020-2021”.</w:t>
            </w:r>
          </w:p>
          <w:p w14:paraId="5D9707E9" w14:textId="532B54E8" w:rsidR="004E6F31" w:rsidRPr="00343C0E" w:rsidRDefault="004E6F31"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4. Que contrario a lo manifestado por la CNHJ respecto a que la selección de candidatos</w:t>
            </w:r>
            <w:r w:rsidR="00431804">
              <w:rPr>
                <w:rFonts w:ascii="Arial Nova Light" w:hAnsi="Arial Nova Light" w:cs="Arial"/>
                <w:sz w:val="20"/>
                <w:szCs w:val="20"/>
              </w:rPr>
              <w:t>, se</w:t>
            </w:r>
            <w:r w:rsidRPr="00343C0E">
              <w:rPr>
                <w:rFonts w:ascii="Arial Nova Light" w:hAnsi="Arial Nova Light" w:cs="Arial"/>
                <w:sz w:val="20"/>
                <w:szCs w:val="20"/>
              </w:rPr>
              <w:t xml:space="preserve"> incumple con lo previsto por la normatividad del partido,</w:t>
            </w:r>
            <w:r w:rsidR="00431804">
              <w:rPr>
                <w:rFonts w:ascii="Arial Nova Light" w:hAnsi="Arial Nova Light" w:cs="Arial"/>
                <w:sz w:val="20"/>
                <w:szCs w:val="20"/>
              </w:rPr>
              <w:t xml:space="preserve"> toda vez que </w:t>
            </w:r>
            <w:r w:rsidRPr="00343C0E">
              <w:rPr>
                <w:rFonts w:ascii="Arial Nova Light" w:hAnsi="Arial Nova Light" w:cs="Arial"/>
                <w:sz w:val="20"/>
                <w:szCs w:val="20"/>
              </w:rPr>
              <w:t xml:space="preserve">la CNE de MORENA fue omisa en todo su proceso de selección de cumplir con lo consagrado por el artículo 44 del Estatuto de MORENA, en especial en lo señalado en sus incisos a), b) y c). Lo anterior, en relación a la selección de candidaturas externas al partido. </w:t>
            </w:r>
          </w:p>
          <w:p w14:paraId="4B6D2A63" w14:textId="32DB2307" w:rsidR="004E6F31" w:rsidRPr="00343C0E" w:rsidRDefault="004E6F31"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5. Señala</w:t>
            </w:r>
            <w:r w:rsidR="00374931" w:rsidRPr="00343C0E">
              <w:rPr>
                <w:rFonts w:ascii="Arial Nova Light" w:hAnsi="Arial Nova Light" w:cs="Arial"/>
                <w:sz w:val="20"/>
                <w:szCs w:val="20"/>
              </w:rPr>
              <w:t>n</w:t>
            </w:r>
            <w:r w:rsidRPr="00343C0E">
              <w:rPr>
                <w:rFonts w:ascii="Arial Nova Light" w:hAnsi="Arial Nova Light" w:cs="Arial"/>
                <w:sz w:val="20"/>
                <w:szCs w:val="20"/>
              </w:rPr>
              <w:t xml:space="preserve"> que no existió el proceso de insaculación a nivel municipal respecto a la designación de candidaturas RP.</w:t>
            </w:r>
          </w:p>
        </w:tc>
      </w:tr>
      <w:tr w:rsidR="004E6F31" w:rsidRPr="00343C0E" w14:paraId="793F6221" w14:textId="77777777" w:rsidTr="00E50B28">
        <w:trPr>
          <w:jc w:val="center"/>
        </w:trPr>
        <w:tc>
          <w:tcPr>
            <w:cnfStyle w:val="001000000000" w:firstRow="0" w:lastRow="0" w:firstColumn="1" w:lastColumn="0" w:oddVBand="0" w:evenVBand="0" w:oddHBand="0" w:evenHBand="0" w:firstRowFirstColumn="0" w:firstRowLastColumn="0" w:lastRowFirstColumn="0" w:lastRowLastColumn="0"/>
            <w:tcW w:w="1280" w:type="dxa"/>
          </w:tcPr>
          <w:p w14:paraId="59AD836E" w14:textId="77777777" w:rsidR="004E6F31" w:rsidRPr="00343C0E" w:rsidRDefault="004E6F31" w:rsidP="00566D05">
            <w:pPr>
              <w:jc w:val="both"/>
              <w:rPr>
                <w:rFonts w:ascii="Arial Nova Light" w:hAnsi="Arial Nova Light" w:cs="Arial"/>
                <w:sz w:val="20"/>
                <w:szCs w:val="20"/>
              </w:rPr>
            </w:pPr>
            <w:r w:rsidRPr="00343C0E">
              <w:rPr>
                <w:rFonts w:ascii="Arial Nova Light" w:hAnsi="Arial Nova Light" w:cs="Arial"/>
                <w:sz w:val="20"/>
                <w:szCs w:val="20"/>
              </w:rPr>
              <w:t>TEEA-JDC-108/2021.</w:t>
            </w:r>
          </w:p>
          <w:p w14:paraId="7C8DEB3A" w14:textId="77777777" w:rsidR="000E3FF8" w:rsidRPr="00343C0E" w:rsidRDefault="000E3FF8" w:rsidP="00566D05">
            <w:pPr>
              <w:jc w:val="both"/>
              <w:rPr>
                <w:rFonts w:ascii="Arial Nova Light" w:hAnsi="Arial Nova Light" w:cs="Arial"/>
                <w:sz w:val="20"/>
                <w:szCs w:val="20"/>
              </w:rPr>
            </w:pPr>
            <w:r w:rsidRPr="00343C0E">
              <w:rPr>
                <w:rFonts w:ascii="Arial Nova Light" w:hAnsi="Arial Nova Light" w:cs="Arial"/>
                <w:sz w:val="20"/>
                <w:szCs w:val="20"/>
              </w:rPr>
              <w:t>TEEA-JDC-009/2021.</w:t>
            </w:r>
          </w:p>
          <w:p w14:paraId="7C7A832D" w14:textId="2F9F76B5" w:rsidR="007D0E1E" w:rsidRPr="00343C0E" w:rsidRDefault="007D0E1E" w:rsidP="00566D05">
            <w:pPr>
              <w:jc w:val="both"/>
              <w:rPr>
                <w:rFonts w:ascii="Arial Nova Light" w:hAnsi="Arial Nova Light" w:cs="Arial"/>
                <w:sz w:val="20"/>
                <w:szCs w:val="20"/>
              </w:rPr>
            </w:pPr>
            <w:r w:rsidRPr="00343C0E">
              <w:rPr>
                <w:rFonts w:ascii="Arial Nova Light" w:hAnsi="Arial Nova Light" w:cs="Arial"/>
                <w:sz w:val="20"/>
                <w:szCs w:val="20"/>
              </w:rPr>
              <w:t>TEEA-JDC-110/2021</w:t>
            </w:r>
          </w:p>
        </w:tc>
        <w:tc>
          <w:tcPr>
            <w:tcW w:w="1886" w:type="dxa"/>
            <w:shd w:val="clear" w:color="auto" w:fill="D0CECE" w:themeFill="background2" w:themeFillShade="E6"/>
          </w:tcPr>
          <w:p w14:paraId="525E1AE9" w14:textId="77777777" w:rsidR="004E6F31" w:rsidRPr="00343C0E" w:rsidRDefault="00C63857"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bCs/>
                <w:sz w:val="20"/>
                <w:szCs w:val="20"/>
              </w:rPr>
            </w:pPr>
            <w:r w:rsidRPr="00343C0E">
              <w:rPr>
                <w:rFonts w:ascii="Arial Nova Light" w:hAnsi="Arial Nova Light"/>
                <w:bCs/>
                <w:sz w:val="20"/>
                <w:szCs w:val="20"/>
              </w:rPr>
              <w:t xml:space="preserve">C. </w:t>
            </w:r>
            <w:r w:rsidR="000E3FF8" w:rsidRPr="00343C0E">
              <w:rPr>
                <w:rFonts w:ascii="Arial Nova Light" w:hAnsi="Arial Nova Light"/>
                <w:bCs/>
                <w:sz w:val="20"/>
                <w:szCs w:val="20"/>
              </w:rPr>
              <w:t>Omar Alejandro Morales López</w:t>
            </w:r>
          </w:p>
          <w:p w14:paraId="0B5EC888" w14:textId="77777777" w:rsidR="00C63857" w:rsidRPr="00343C0E" w:rsidRDefault="00C63857"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C. Elvira Aguilar López.</w:t>
            </w:r>
          </w:p>
          <w:p w14:paraId="030741FF" w14:textId="2D25DEAB" w:rsidR="007D0E1E" w:rsidRPr="00343C0E" w:rsidRDefault="007D0E1E"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 xml:space="preserve">C. </w:t>
            </w:r>
            <w:r w:rsidRPr="00343C0E">
              <w:rPr>
                <w:rFonts w:ascii="Arial Nova Light" w:hAnsi="Arial Nova Light"/>
                <w:bCs/>
                <w:sz w:val="20"/>
                <w:szCs w:val="20"/>
              </w:rPr>
              <w:t xml:space="preserve">Alejandro Barbosa Loreto.  </w:t>
            </w:r>
          </w:p>
        </w:tc>
        <w:tc>
          <w:tcPr>
            <w:tcW w:w="6473" w:type="dxa"/>
          </w:tcPr>
          <w:p w14:paraId="5A8A7B08" w14:textId="0C937FA3" w:rsidR="00001A29" w:rsidRPr="00343C0E" w:rsidRDefault="004E6F31" w:rsidP="00001A29">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 xml:space="preserve">1. </w:t>
            </w:r>
            <w:r w:rsidR="00001A29" w:rsidRPr="00343C0E">
              <w:rPr>
                <w:rFonts w:ascii="Arial Nova Light" w:hAnsi="Arial Nova Light" w:cs="Arial"/>
                <w:sz w:val="20"/>
                <w:szCs w:val="20"/>
              </w:rPr>
              <w:t>Se duele</w:t>
            </w:r>
            <w:r w:rsidR="007D0E1E" w:rsidRPr="00343C0E">
              <w:rPr>
                <w:rFonts w:ascii="Arial Nova Light" w:hAnsi="Arial Nova Light" w:cs="Arial"/>
                <w:sz w:val="20"/>
                <w:szCs w:val="20"/>
              </w:rPr>
              <w:t>n</w:t>
            </w:r>
            <w:r w:rsidR="00001A29" w:rsidRPr="00343C0E">
              <w:rPr>
                <w:rFonts w:ascii="Arial Nova Light" w:hAnsi="Arial Nova Light" w:cs="Arial"/>
                <w:sz w:val="20"/>
                <w:szCs w:val="20"/>
              </w:rPr>
              <w:t xml:space="preserve"> de la determinación de </w:t>
            </w:r>
            <w:r w:rsidR="00001A29" w:rsidRPr="00343C0E">
              <w:rPr>
                <w:rFonts w:ascii="Arial Nova Light" w:hAnsi="Arial Nova Light" w:cs="Arial"/>
                <w:b/>
                <w:bCs/>
                <w:sz w:val="20"/>
                <w:szCs w:val="20"/>
              </w:rPr>
              <w:t>extemporaneidad</w:t>
            </w:r>
            <w:r w:rsidR="00001A29" w:rsidRPr="00343C0E">
              <w:rPr>
                <w:rFonts w:ascii="Arial Nova Light" w:hAnsi="Arial Nova Light" w:cs="Arial"/>
                <w:sz w:val="20"/>
                <w:szCs w:val="20"/>
              </w:rPr>
              <w:t xml:space="preserve"> de la CNHJ pues a su consideración, la responsable pretende evadir una violación a sus derechos político electorales, esto al no atender el fondo del asunto.</w:t>
            </w:r>
          </w:p>
          <w:p w14:paraId="77821889" w14:textId="5CEFDF9A" w:rsidR="00001A29" w:rsidRPr="00343C0E" w:rsidRDefault="00001A29"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 xml:space="preserve">2. </w:t>
            </w:r>
            <w:r w:rsidR="004E6F31" w:rsidRPr="00343C0E">
              <w:rPr>
                <w:rFonts w:ascii="Arial Nova Light" w:hAnsi="Arial Nova Light" w:cs="Arial"/>
                <w:sz w:val="20"/>
                <w:szCs w:val="20"/>
              </w:rPr>
              <w:t>Señala</w:t>
            </w:r>
            <w:r w:rsidR="0098602E" w:rsidRPr="00343C0E">
              <w:rPr>
                <w:rFonts w:ascii="Arial Nova Light" w:hAnsi="Arial Nova Light" w:cs="Arial"/>
                <w:sz w:val="20"/>
                <w:szCs w:val="20"/>
              </w:rPr>
              <w:t>n</w:t>
            </w:r>
            <w:r w:rsidR="004E6F31" w:rsidRPr="00343C0E">
              <w:rPr>
                <w:rFonts w:ascii="Arial Nova Light" w:hAnsi="Arial Nova Light" w:cs="Arial"/>
                <w:sz w:val="20"/>
                <w:szCs w:val="20"/>
              </w:rPr>
              <w:t xml:space="preserve"> que le causa agravio directo la determinación de </w:t>
            </w:r>
            <w:r w:rsidR="0098602E" w:rsidRPr="00343C0E">
              <w:rPr>
                <w:rFonts w:ascii="Arial Nova Light" w:hAnsi="Arial Nova Light" w:cs="Arial"/>
                <w:sz w:val="20"/>
                <w:szCs w:val="20"/>
              </w:rPr>
              <w:t>improcedencia por</w:t>
            </w:r>
            <w:r w:rsidR="004E6F31" w:rsidRPr="00343C0E">
              <w:rPr>
                <w:rFonts w:ascii="Arial Nova Light" w:hAnsi="Arial Nova Light" w:cs="Arial"/>
                <w:sz w:val="20"/>
                <w:szCs w:val="20"/>
              </w:rPr>
              <w:t xml:space="preserve"> preclusión y extemporaneidad, en virtud de que no han sido respetados los principios de legalidad, debido proceso, motivación y fundamentación, exhaustividad, congruencia, definitividad y máxima publicidad respecto a la ilegal actuación en el expediente CNHJ-AGS-817/2021. </w:t>
            </w:r>
          </w:p>
          <w:p w14:paraId="1E8BF819" w14:textId="77777777" w:rsidR="009B059E" w:rsidRPr="00343C0E" w:rsidRDefault="00001A29"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lastRenderedPageBreak/>
              <w:t xml:space="preserve">3. </w:t>
            </w:r>
            <w:r w:rsidR="009B059E" w:rsidRPr="00343C0E">
              <w:rPr>
                <w:rFonts w:ascii="Arial Nova Light" w:hAnsi="Arial Nova Light" w:cs="Arial"/>
                <w:sz w:val="20"/>
                <w:szCs w:val="20"/>
              </w:rPr>
              <w:t>Que la resolución de la responsable carece de una debida motivación y fundamentación al invocar preclusión e ineficientemente diversos preceptos de la Ley General de Partidos Políticos.</w:t>
            </w:r>
          </w:p>
          <w:p w14:paraId="3F1E3537" w14:textId="136058C0" w:rsidR="004E6F31" w:rsidRPr="00343C0E" w:rsidRDefault="009B059E"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 xml:space="preserve">4. </w:t>
            </w:r>
            <w:r w:rsidR="004E6F31" w:rsidRPr="00343C0E">
              <w:rPr>
                <w:rFonts w:ascii="Arial Nova Light" w:hAnsi="Arial Nova Light" w:cs="Arial"/>
                <w:sz w:val="20"/>
                <w:szCs w:val="20"/>
              </w:rPr>
              <w:t>Argumenta</w:t>
            </w:r>
            <w:r w:rsidR="0098602E" w:rsidRPr="00343C0E">
              <w:rPr>
                <w:rFonts w:ascii="Arial Nova Light" w:hAnsi="Arial Nova Light" w:cs="Arial"/>
                <w:sz w:val="20"/>
                <w:szCs w:val="20"/>
              </w:rPr>
              <w:t>n</w:t>
            </w:r>
            <w:r w:rsidR="004E6F31" w:rsidRPr="00343C0E">
              <w:rPr>
                <w:rFonts w:ascii="Arial Nova Light" w:hAnsi="Arial Nova Light" w:cs="Arial"/>
                <w:sz w:val="20"/>
                <w:szCs w:val="20"/>
              </w:rPr>
              <w:t xml:space="preserve"> que la CNHJ </w:t>
            </w:r>
            <w:r w:rsidR="0098602E" w:rsidRPr="00343C0E">
              <w:rPr>
                <w:rFonts w:ascii="Arial Nova Light" w:hAnsi="Arial Nova Light" w:cs="Arial"/>
                <w:sz w:val="20"/>
                <w:szCs w:val="20"/>
              </w:rPr>
              <w:t xml:space="preserve">no respetó el cumplimiento de </w:t>
            </w:r>
            <w:r w:rsidR="004E6F31" w:rsidRPr="00343C0E">
              <w:rPr>
                <w:rFonts w:ascii="Arial Nova Light" w:hAnsi="Arial Nova Light" w:cs="Arial"/>
                <w:sz w:val="20"/>
                <w:szCs w:val="20"/>
              </w:rPr>
              <w:t>la cuota mínima de afiliados en los registros de candidaturas por MORENA en Aguascalientes.</w:t>
            </w:r>
          </w:p>
          <w:p w14:paraId="5C4D60AF" w14:textId="77777777" w:rsidR="009B059E" w:rsidRPr="00343C0E" w:rsidRDefault="009B059E"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 xml:space="preserve">5. </w:t>
            </w:r>
            <w:r w:rsidR="004E6F31" w:rsidRPr="00343C0E">
              <w:rPr>
                <w:rFonts w:ascii="Arial Nova Light" w:hAnsi="Arial Nova Light" w:cs="Arial"/>
                <w:sz w:val="20"/>
                <w:szCs w:val="20"/>
              </w:rPr>
              <w:t>Menciona</w:t>
            </w:r>
            <w:r w:rsidRPr="00343C0E">
              <w:rPr>
                <w:rFonts w:ascii="Arial Nova Light" w:hAnsi="Arial Nova Light" w:cs="Arial"/>
                <w:sz w:val="20"/>
                <w:szCs w:val="20"/>
              </w:rPr>
              <w:t>n</w:t>
            </w:r>
            <w:r w:rsidR="004E6F31" w:rsidRPr="00343C0E">
              <w:rPr>
                <w:rFonts w:ascii="Arial Nova Light" w:hAnsi="Arial Nova Light" w:cs="Arial"/>
                <w:sz w:val="20"/>
                <w:szCs w:val="20"/>
              </w:rPr>
              <w:t xml:space="preserve"> que la resolución </w:t>
            </w:r>
            <w:r w:rsidRPr="00343C0E">
              <w:rPr>
                <w:rFonts w:ascii="Arial Nova Light" w:hAnsi="Arial Nova Light" w:cs="Arial"/>
                <w:sz w:val="20"/>
                <w:szCs w:val="20"/>
              </w:rPr>
              <w:t>impugnada</w:t>
            </w:r>
            <w:r w:rsidR="004E6F31" w:rsidRPr="00343C0E">
              <w:rPr>
                <w:rFonts w:ascii="Arial Nova Light" w:hAnsi="Arial Nova Light" w:cs="Arial"/>
                <w:sz w:val="20"/>
                <w:szCs w:val="20"/>
              </w:rPr>
              <w:t xml:space="preserve"> limita su derecho a votar y ser votado, pues a su dicho no demuestra la claridad, legalidad, transparencia y cabalidad en el cumplimiento de los procesos de la convocatoria de MORENA.</w:t>
            </w:r>
            <w:r w:rsidR="00001A29" w:rsidRPr="00343C0E">
              <w:rPr>
                <w:rFonts w:ascii="Arial Nova Light" w:hAnsi="Arial Nova Light" w:cs="Arial"/>
                <w:sz w:val="20"/>
                <w:szCs w:val="20"/>
              </w:rPr>
              <w:t xml:space="preserve"> </w:t>
            </w:r>
          </w:p>
          <w:p w14:paraId="271BF9B7" w14:textId="0F3F1785" w:rsidR="004207BC" w:rsidRPr="00343C0E" w:rsidRDefault="009B059E"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 xml:space="preserve">6. </w:t>
            </w:r>
            <w:r w:rsidR="004E6F31" w:rsidRPr="00343C0E">
              <w:rPr>
                <w:rFonts w:ascii="Arial Nova Light" w:hAnsi="Arial Nova Light" w:cs="Arial"/>
                <w:sz w:val="20"/>
                <w:szCs w:val="20"/>
              </w:rPr>
              <w:t>Se duele</w:t>
            </w:r>
            <w:r w:rsidRPr="00343C0E">
              <w:rPr>
                <w:rFonts w:ascii="Arial Nova Light" w:hAnsi="Arial Nova Light" w:cs="Arial"/>
                <w:sz w:val="20"/>
                <w:szCs w:val="20"/>
              </w:rPr>
              <w:t>n de que</w:t>
            </w:r>
            <w:r w:rsidR="00934EF6">
              <w:rPr>
                <w:rFonts w:ascii="Arial Nova Light" w:hAnsi="Arial Nova Light" w:cs="Arial"/>
                <w:sz w:val="20"/>
                <w:szCs w:val="20"/>
              </w:rPr>
              <w:t xml:space="preserve"> la</w:t>
            </w:r>
            <w:r w:rsidR="004E6F31" w:rsidRPr="00343C0E">
              <w:rPr>
                <w:rFonts w:ascii="Arial Nova Light" w:hAnsi="Arial Nova Light" w:cs="Arial"/>
                <w:sz w:val="20"/>
                <w:szCs w:val="20"/>
              </w:rPr>
              <w:t xml:space="preserve"> resolución</w:t>
            </w:r>
            <w:r w:rsidRPr="00343C0E">
              <w:rPr>
                <w:rFonts w:ascii="Arial Nova Light" w:hAnsi="Arial Nova Light" w:cs="Arial"/>
                <w:sz w:val="20"/>
                <w:szCs w:val="20"/>
              </w:rPr>
              <w:t xml:space="preserve"> combatida</w:t>
            </w:r>
            <w:r w:rsidR="004E6F31" w:rsidRPr="00343C0E">
              <w:rPr>
                <w:rFonts w:ascii="Arial Nova Light" w:hAnsi="Arial Nova Light" w:cs="Arial"/>
                <w:sz w:val="20"/>
                <w:szCs w:val="20"/>
              </w:rPr>
              <w:t xml:space="preserve"> viola lo contenido en la Convención Interamericana de los Derechos Humanos. También, manifiesta que la misma violenta el debido proceso y los artículos 14, 16, 17 y 35 de la Constitución, así como el principio de progresividad y certeza, pues a su dicho nunca se le informó los resultados de la encuesta y los demás mecanismos de selección de candidaturas.</w:t>
            </w:r>
            <w:r w:rsidR="006C31B4" w:rsidRPr="00343C0E">
              <w:rPr>
                <w:rFonts w:ascii="Arial Nova Light" w:hAnsi="Arial Nova Light" w:cs="Arial"/>
                <w:sz w:val="20"/>
                <w:szCs w:val="20"/>
              </w:rPr>
              <w:t xml:space="preserve"> </w:t>
            </w:r>
          </w:p>
          <w:p w14:paraId="0AF878CF" w14:textId="2020FD0D" w:rsidR="004E6F31" w:rsidRPr="00343C0E" w:rsidRDefault="004207BC" w:rsidP="00566D05">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343C0E">
              <w:rPr>
                <w:rFonts w:ascii="Arial Nova Light" w:hAnsi="Arial Nova Light" w:cs="Arial"/>
                <w:sz w:val="20"/>
                <w:szCs w:val="20"/>
              </w:rPr>
              <w:t xml:space="preserve">7. </w:t>
            </w:r>
            <w:r w:rsidR="004E6F31" w:rsidRPr="00343C0E">
              <w:rPr>
                <w:rFonts w:ascii="Arial Nova Light" w:hAnsi="Arial Nova Light" w:cs="Arial"/>
                <w:sz w:val="20"/>
                <w:szCs w:val="20"/>
              </w:rPr>
              <w:t xml:space="preserve">Que el IEE dio tramite a los expedientes de registro sin verificar si habían sido respetados los causees legales y sin prejuzgar si existía laguna violación al estatuto o convocatoria.  </w:t>
            </w:r>
          </w:p>
        </w:tc>
      </w:tr>
    </w:tbl>
    <w:p w14:paraId="7D8F447D" w14:textId="77777777" w:rsidR="004E6F31" w:rsidRPr="00126723" w:rsidRDefault="004E6F31" w:rsidP="00472715">
      <w:pPr>
        <w:pStyle w:val="Estilo"/>
        <w:spacing w:line="360" w:lineRule="auto"/>
        <w:rPr>
          <w:rFonts w:ascii="Arial Nova Light" w:hAnsi="Arial Nova Light"/>
          <w:bCs/>
          <w:szCs w:val="24"/>
        </w:rPr>
      </w:pPr>
    </w:p>
    <w:p w14:paraId="2F9EBDF7" w14:textId="77777777" w:rsidR="0086107E" w:rsidRPr="00126723" w:rsidRDefault="0086107E" w:rsidP="0086107E">
      <w:pPr>
        <w:spacing w:after="0" w:line="360" w:lineRule="auto"/>
        <w:jc w:val="both"/>
        <w:rPr>
          <w:rFonts w:ascii="Arial Nova Light" w:eastAsia="Arial Nova" w:hAnsi="Arial Nova Light" w:cs="Arial Nova"/>
          <w:sz w:val="24"/>
          <w:szCs w:val="24"/>
        </w:rPr>
      </w:pPr>
      <w:r w:rsidRPr="00126723">
        <w:rPr>
          <w:rFonts w:ascii="Arial Nova Light" w:eastAsia="Arial Nova" w:hAnsi="Arial Nova Light" w:cs="Arial Nova"/>
          <w:sz w:val="24"/>
          <w:szCs w:val="24"/>
        </w:rPr>
        <w:t xml:space="preserve">Ahora bien, por razón de método, el análisis de los conceptos de agravios se hará en su conjunto, sin que tal situación ocasione perjuicio alguno a los promoventes, con sustento en el criterio sostenido por la Sala Superior en la jurisprudencia 4/2000, cuyo rubro es: </w:t>
      </w:r>
      <w:r w:rsidRPr="00126723">
        <w:rPr>
          <w:rFonts w:ascii="Arial Nova Light" w:eastAsia="Arial Nova" w:hAnsi="Arial Nova Light" w:cs="Arial Nova"/>
          <w:b/>
          <w:sz w:val="24"/>
          <w:szCs w:val="24"/>
        </w:rPr>
        <w:t>"AGRAVIOS, SU EXAMEN EN CONJUNTO O SEPARADO, NO CAUSA LESIÓN"</w:t>
      </w:r>
      <w:r w:rsidRPr="00126723">
        <w:rPr>
          <w:rFonts w:ascii="Arial Nova Light" w:eastAsia="Arial Nova" w:hAnsi="Arial Nova Light" w:cs="Arial Nova"/>
          <w:b/>
          <w:sz w:val="24"/>
          <w:szCs w:val="24"/>
          <w:vertAlign w:val="superscript"/>
        </w:rPr>
        <w:footnoteReference w:id="7"/>
      </w:r>
      <w:r w:rsidRPr="00126723">
        <w:rPr>
          <w:rFonts w:ascii="Arial Nova Light" w:eastAsia="Arial Nova" w:hAnsi="Arial Nova Light" w:cs="Arial Nova"/>
          <w:sz w:val="24"/>
          <w:szCs w:val="24"/>
        </w:rPr>
        <w:t>, porque la forma de analizarlos no es lo que puede originar una lesión, sino que lo trascendental, es que todos sean integralmente estudiados</w:t>
      </w:r>
      <w:r w:rsidRPr="00126723">
        <w:rPr>
          <w:rFonts w:ascii="Arial Nova Light" w:eastAsia="Arial Nova" w:hAnsi="Arial Nova Light" w:cs="Arial Nova"/>
          <w:sz w:val="24"/>
          <w:szCs w:val="24"/>
          <w:vertAlign w:val="superscript"/>
        </w:rPr>
        <w:footnoteReference w:id="8"/>
      </w:r>
      <w:r w:rsidRPr="00126723">
        <w:rPr>
          <w:rFonts w:ascii="Arial Nova Light" w:eastAsia="Arial Nova" w:hAnsi="Arial Nova Light" w:cs="Arial Nova"/>
          <w:sz w:val="24"/>
          <w:szCs w:val="24"/>
        </w:rPr>
        <w:t>.</w:t>
      </w:r>
    </w:p>
    <w:p w14:paraId="50AFC336" w14:textId="77EA7F99" w:rsidR="009A54F1" w:rsidRPr="00126723" w:rsidRDefault="009A54F1" w:rsidP="0086107E">
      <w:pPr>
        <w:pStyle w:val="Estilo"/>
        <w:spacing w:line="360" w:lineRule="auto"/>
        <w:rPr>
          <w:rFonts w:ascii="Arial Nova Light" w:hAnsi="Arial Nova Light"/>
          <w:bCs/>
          <w:szCs w:val="24"/>
        </w:rPr>
      </w:pPr>
    </w:p>
    <w:p w14:paraId="01E0CCA8" w14:textId="29B410E0" w:rsidR="009A54F1" w:rsidRPr="00126723" w:rsidRDefault="009A54F1" w:rsidP="004752D6">
      <w:pPr>
        <w:pStyle w:val="Estilo"/>
        <w:numPr>
          <w:ilvl w:val="0"/>
          <w:numId w:val="35"/>
        </w:numPr>
        <w:spacing w:line="360" w:lineRule="auto"/>
        <w:ind w:left="0" w:firstLine="0"/>
        <w:rPr>
          <w:rFonts w:ascii="Arial Nova Light" w:hAnsi="Arial Nova Light"/>
          <w:bCs/>
          <w:szCs w:val="24"/>
        </w:rPr>
      </w:pPr>
      <w:r w:rsidRPr="00126723">
        <w:rPr>
          <w:rFonts w:ascii="Arial Nova Light" w:hAnsi="Arial Nova Light"/>
          <w:b/>
          <w:szCs w:val="24"/>
        </w:rPr>
        <w:t xml:space="preserve">FIJACIÓN DE LA LITIS. </w:t>
      </w:r>
      <w:r w:rsidRPr="00126723">
        <w:rPr>
          <w:rFonts w:ascii="Arial Nova Light" w:hAnsi="Arial Nova Light"/>
          <w:bCs/>
          <w:szCs w:val="24"/>
        </w:rPr>
        <w:t>Este Tribunal, considera que la cuestión a resolver</w:t>
      </w:r>
      <w:r w:rsidRPr="00126723">
        <w:rPr>
          <w:rFonts w:ascii="Arial Nova Light" w:hAnsi="Arial Nova Light"/>
          <w:bCs/>
          <w:i/>
          <w:iCs/>
          <w:szCs w:val="24"/>
        </w:rPr>
        <w:t xml:space="preserve">, </w:t>
      </w:r>
      <w:r w:rsidR="002D27A7" w:rsidRPr="00126723">
        <w:rPr>
          <w:rFonts w:ascii="Arial Nova Light" w:hAnsi="Arial Nova Light"/>
          <w:bCs/>
          <w:szCs w:val="24"/>
        </w:rPr>
        <w:t xml:space="preserve">es determinar si el acto impugnado, </w:t>
      </w:r>
      <w:r w:rsidR="002D27A7" w:rsidRPr="00126723">
        <w:rPr>
          <w:rFonts w:ascii="Arial Nova Light" w:hAnsi="Arial Nova Light"/>
          <w:bCs/>
          <w:i/>
          <w:iCs/>
          <w:szCs w:val="24"/>
        </w:rPr>
        <w:t xml:space="preserve">de acuerdo a los agravios presentados, </w:t>
      </w:r>
      <w:r w:rsidR="0035380F">
        <w:rPr>
          <w:rFonts w:ascii="Arial Nova Light" w:hAnsi="Arial Nova Light"/>
          <w:bCs/>
          <w:szCs w:val="24"/>
        </w:rPr>
        <w:t xml:space="preserve">al calificar como </w:t>
      </w:r>
      <w:r w:rsidR="00A94A7E">
        <w:rPr>
          <w:rFonts w:ascii="Arial Nova Light" w:hAnsi="Arial Nova Light"/>
          <w:bCs/>
          <w:szCs w:val="24"/>
        </w:rPr>
        <w:t>precluido el derecho de los promoventes,</w:t>
      </w:r>
      <w:r w:rsidR="0035380F">
        <w:rPr>
          <w:rFonts w:ascii="Arial Nova Light" w:hAnsi="Arial Nova Light"/>
          <w:bCs/>
          <w:szCs w:val="24"/>
        </w:rPr>
        <w:t xml:space="preserve"> </w:t>
      </w:r>
      <w:r w:rsidR="000933D8" w:rsidRPr="00126723">
        <w:rPr>
          <w:rFonts w:ascii="Arial Nova Light" w:hAnsi="Arial Nova Light"/>
          <w:bCs/>
          <w:szCs w:val="24"/>
        </w:rPr>
        <w:t xml:space="preserve">carece de fundamentación y motivación y por ende </w:t>
      </w:r>
      <w:r w:rsidR="002D27A7" w:rsidRPr="00126723">
        <w:rPr>
          <w:rFonts w:ascii="Arial Nova Light" w:hAnsi="Arial Nova Light"/>
          <w:bCs/>
          <w:szCs w:val="24"/>
        </w:rPr>
        <w:t xml:space="preserve">transgrede la esfera de derechos político electorales o en su caso, si </w:t>
      </w:r>
      <w:r w:rsidR="000933D8" w:rsidRPr="00126723">
        <w:rPr>
          <w:rFonts w:ascii="Arial Nova Light" w:hAnsi="Arial Nova Light"/>
          <w:bCs/>
          <w:szCs w:val="24"/>
        </w:rPr>
        <w:t xml:space="preserve">tal Acuerdo emitido por la CNHJ fue </w:t>
      </w:r>
      <w:r w:rsidR="00717964" w:rsidRPr="00126723">
        <w:rPr>
          <w:rFonts w:ascii="Arial Nova Light" w:hAnsi="Arial Nova Light"/>
          <w:bCs/>
          <w:szCs w:val="24"/>
        </w:rPr>
        <w:t>dictado</w:t>
      </w:r>
      <w:r w:rsidR="000933D8" w:rsidRPr="00126723">
        <w:rPr>
          <w:rFonts w:ascii="Arial Nova Light" w:hAnsi="Arial Nova Light"/>
          <w:bCs/>
          <w:szCs w:val="24"/>
        </w:rPr>
        <w:t xml:space="preserve"> en el marco de la legalidad y apegada los principios que rigen la materia. </w:t>
      </w:r>
      <w:bookmarkStart w:id="6" w:name="_Hlk64396718"/>
    </w:p>
    <w:bookmarkEnd w:id="6"/>
    <w:p w14:paraId="2817FAEF" w14:textId="77777777" w:rsidR="009A54F1" w:rsidRPr="00126723" w:rsidRDefault="009A54F1" w:rsidP="009A54F1">
      <w:pPr>
        <w:pStyle w:val="Estilo"/>
        <w:spacing w:line="360" w:lineRule="auto"/>
        <w:rPr>
          <w:rFonts w:ascii="Arial Nova Light" w:hAnsi="Arial Nova Light"/>
          <w:bCs/>
          <w:szCs w:val="24"/>
        </w:rPr>
      </w:pPr>
    </w:p>
    <w:p w14:paraId="3CB03D31" w14:textId="6D2B64F6" w:rsidR="00495859" w:rsidRPr="00126723" w:rsidRDefault="009A54F1" w:rsidP="00495859">
      <w:pPr>
        <w:pStyle w:val="Estilo"/>
        <w:numPr>
          <w:ilvl w:val="0"/>
          <w:numId w:val="35"/>
        </w:numPr>
        <w:spacing w:line="360" w:lineRule="auto"/>
        <w:ind w:left="0" w:firstLine="0"/>
        <w:rPr>
          <w:rFonts w:ascii="Arial Nova Light" w:hAnsi="Arial Nova Light"/>
          <w:bCs/>
          <w:szCs w:val="24"/>
        </w:rPr>
      </w:pPr>
      <w:r w:rsidRPr="00126723">
        <w:rPr>
          <w:rFonts w:ascii="Arial Nova Light" w:hAnsi="Arial Nova Light"/>
          <w:b/>
          <w:szCs w:val="24"/>
        </w:rPr>
        <w:t>METODOLOGÍA</w:t>
      </w:r>
      <w:r w:rsidRPr="00126723">
        <w:rPr>
          <w:rFonts w:ascii="Arial Nova Light" w:hAnsi="Arial Nova Light"/>
          <w:bCs/>
          <w:szCs w:val="24"/>
        </w:rPr>
        <w:t xml:space="preserve">. </w:t>
      </w:r>
      <w:r w:rsidR="00616407" w:rsidRPr="00126723">
        <w:rPr>
          <w:rFonts w:ascii="Arial Nova Light" w:hAnsi="Arial Nova Light"/>
          <w:bCs/>
          <w:szCs w:val="24"/>
        </w:rPr>
        <w:t xml:space="preserve"> </w:t>
      </w:r>
      <w:r w:rsidR="00495859" w:rsidRPr="00126723">
        <w:rPr>
          <w:rFonts w:ascii="Arial Nova Light" w:hAnsi="Arial Nova Light"/>
          <w:bCs/>
          <w:szCs w:val="24"/>
        </w:rPr>
        <w:t xml:space="preserve">En primer lugar, a la luz </w:t>
      </w:r>
      <w:bookmarkStart w:id="7" w:name="_Hlk64396781"/>
      <w:r w:rsidR="00495859" w:rsidRPr="00126723">
        <w:rPr>
          <w:rFonts w:ascii="Arial Nova Light" w:hAnsi="Arial Nova Light"/>
          <w:bCs/>
          <w:szCs w:val="24"/>
        </w:rPr>
        <w:t xml:space="preserve">de los preceptos constitucionales y legales, </w:t>
      </w:r>
      <w:r w:rsidR="009B0E1D" w:rsidRPr="00126723">
        <w:rPr>
          <w:rFonts w:ascii="Arial Nova Light" w:hAnsi="Arial Nova Light"/>
          <w:bCs/>
          <w:szCs w:val="24"/>
        </w:rPr>
        <w:t xml:space="preserve">se analizará la extemporaneidad de los juicios determinada por la CNHJ, toda vez que, de ser fundados sus agravios, </w:t>
      </w:r>
      <w:r w:rsidR="002C563F" w:rsidRPr="00126723">
        <w:rPr>
          <w:rFonts w:ascii="Arial Nova Light" w:hAnsi="Arial Nova Light"/>
          <w:bCs/>
          <w:szCs w:val="24"/>
        </w:rPr>
        <w:t xml:space="preserve">bastarían para determinar la ilegalidad de la resolución impugnada. </w:t>
      </w:r>
    </w:p>
    <w:p w14:paraId="0C4A28E3" w14:textId="77777777" w:rsidR="002C563F" w:rsidRPr="00126723" w:rsidRDefault="002C563F" w:rsidP="002C563F">
      <w:pPr>
        <w:pStyle w:val="Prrafodelista"/>
        <w:rPr>
          <w:rFonts w:ascii="Arial Nova Light" w:hAnsi="Arial Nova Light"/>
          <w:bCs/>
          <w:sz w:val="24"/>
          <w:szCs w:val="24"/>
        </w:rPr>
      </w:pPr>
    </w:p>
    <w:p w14:paraId="34CD2AC1" w14:textId="2CDED9CE" w:rsidR="002C563F" w:rsidRPr="00126723" w:rsidRDefault="002C563F" w:rsidP="002C563F">
      <w:pPr>
        <w:pStyle w:val="Estilo"/>
        <w:spacing w:line="360" w:lineRule="auto"/>
        <w:rPr>
          <w:rFonts w:ascii="Arial Nova Light" w:hAnsi="Arial Nova Light"/>
          <w:bCs/>
          <w:szCs w:val="24"/>
        </w:rPr>
      </w:pPr>
      <w:r w:rsidRPr="00126723">
        <w:rPr>
          <w:rFonts w:ascii="Arial Nova Light" w:hAnsi="Arial Nova Light"/>
          <w:bCs/>
          <w:szCs w:val="24"/>
        </w:rPr>
        <w:lastRenderedPageBreak/>
        <w:t>En caso de resultar infundados, se procederá al an</w:t>
      </w:r>
      <w:r w:rsidR="00897A98" w:rsidRPr="00126723">
        <w:rPr>
          <w:rFonts w:ascii="Arial Nova Light" w:hAnsi="Arial Nova Light"/>
          <w:bCs/>
          <w:szCs w:val="24"/>
        </w:rPr>
        <w:t>álisis de los agravios hechos valer por los promoventes en cuanto a la improcedencia dictada el doce de abril</w:t>
      </w:r>
      <w:r w:rsidR="009A7988">
        <w:rPr>
          <w:rFonts w:ascii="Arial Nova Light" w:hAnsi="Arial Nova Light"/>
          <w:bCs/>
          <w:szCs w:val="24"/>
        </w:rPr>
        <w:t>,</w:t>
      </w:r>
      <w:r w:rsidR="00897A98" w:rsidRPr="00126723">
        <w:rPr>
          <w:rFonts w:ascii="Arial Nova Light" w:hAnsi="Arial Nova Light"/>
          <w:bCs/>
          <w:szCs w:val="24"/>
        </w:rPr>
        <w:t xml:space="preserve"> por la autoridad responsable. </w:t>
      </w:r>
    </w:p>
    <w:bookmarkEnd w:id="7"/>
    <w:p w14:paraId="694D303E" w14:textId="50284B94" w:rsidR="009A54F1" w:rsidRPr="00126723" w:rsidRDefault="009A54F1" w:rsidP="00495859">
      <w:pPr>
        <w:pStyle w:val="Estilo"/>
        <w:spacing w:line="360" w:lineRule="auto"/>
        <w:rPr>
          <w:rFonts w:ascii="Arial Nova Light" w:hAnsi="Arial Nova Light"/>
          <w:bCs/>
          <w:szCs w:val="24"/>
        </w:rPr>
      </w:pPr>
    </w:p>
    <w:p w14:paraId="0E2B504B" w14:textId="1A51C0F7" w:rsidR="00D2604D" w:rsidRPr="00126723" w:rsidRDefault="00495859" w:rsidP="00D2604D">
      <w:pPr>
        <w:pStyle w:val="Estilo"/>
        <w:spacing w:line="360" w:lineRule="auto"/>
        <w:rPr>
          <w:rFonts w:ascii="Arial Nova Light" w:hAnsi="Arial Nova Light"/>
          <w:bCs/>
          <w:szCs w:val="24"/>
        </w:rPr>
      </w:pPr>
      <w:r w:rsidRPr="00126723">
        <w:rPr>
          <w:rFonts w:ascii="Arial Nova Light" w:hAnsi="Arial Nova Light"/>
          <w:bCs/>
          <w:szCs w:val="24"/>
        </w:rPr>
        <w:t xml:space="preserve">De tal análisis se concluirá si </w:t>
      </w:r>
      <w:r w:rsidR="00897A98" w:rsidRPr="00126723">
        <w:rPr>
          <w:rFonts w:ascii="Arial Nova Light" w:hAnsi="Arial Nova Light"/>
          <w:bCs/>
          <w:szCs w:val="24"/>
        </w:rPr>
        <w:t>la CNHJ valoró correctamente, o no, los agravios de los que se duele</w:t>
      </w:r>
      <w:r w:rsidR="00D2604D" w:rsidRPr="00126723">
        <w:rPr>
          <w:rFonts w:ascii="Arial Nova Light" w:hAnsi="Arial Nova Light"/>
          <w:bCs/>
          <w:szCs w:val="24"/>
        </w:rPr>
        <w:t>n</w:t>
      </w:r>
      <w:r w:rsidR="00897A98" w:rsidRPr="00126723">
        <w:rPr>
          <w:rFonts w:ascii="Arial Nova Light" w:hAnsi="Arial Nova Light"/>
          <w:bCs/>
          <w:szCs w:val="24"/>
        </w:rPr>
        <w:t xml:space="preserve"> los actores. </w:t>
      </w:r>
    </w:p>
    <w:p w14:paraId="37011484" w14:textId="77777777" w:rsidR="009A54F1" w:rsidRPr="00126723" w:rsidRDefault="009A54F1" w:rsidP="009A54F1">
      <w:pPr>
        <w:pStyle w:val="Estilo"/>
        <w:spacing w:line="360" w:lineRule="auto"/>
        <w:rPr>
          <w:rFonts w:ascii="Arial Nova Light" w:hAnsi="Arial Nova Light"/>
          <w:bCs/>
          <w:szCs w:val="24"/>
        </w:rPr>
      </w:pPr>
    </w:p>
    <w:p w14:paraId="7C946057" w14:textId="42E7232B" w:rsidR="00E17439" w:rsidRPr="00126723" w:rsidRDefault="009A54F1" w:rsidP="008C258E">
      <w:pPr>
        <w:pStyle w:val="Estilo"/>
        <w:numPr>
          <w:ilvl w:val="0"/>
          <w:numId w:val="35"/>
        </w:numPr>
        <w:spacing w:line="360" w:lineRule="auto"/>
        <w:ind w:left="0" w:firstLine="0"/>
        <w:rPr>
          <w:rFonts w:ascii="Arial Nova Light" w:hAnsi="Arial Nova Light" w:cs="Arial"/>
          <w:b/>
          <w:bCs/>
          <w:szCs w:val="24"/>
        </w:rPr>
      </w:pPr>
      <w:r w:rsidRPr="00126723">
        <w:rPr>
          <w:rFonts w:ascii="Arial Nova Light" w:hAnsi="Arial Nova Light"/>
          <w:b/>
          <w:szCs w:val="24"/>
        </w:rPr>
        <w:t xml:space="preserve">  </w:t>
      </w:r>
      <w:bookmarkEnd w:id="3"/>
      <w:r w:rsidR="008C258E" w:rsidRPr="00126723">
        <w:rPr>
          <w:rFonts w:ascii="Arial Nova Light" w:hAnsi="Arial Nova Light"/>
          <w:b/>
          <w:szCs w:val="24"/>
        </w:rPr>
        <w:t>ESTUDIO DE FONDO</w:t>
      </w:r>
    </w:p>
    <w:p w14:paraId="49A1001A" w14:textId="77777777" w:rsidR="00343C0E" w:rsidRPr="00343C0E" w:rsidRDefault="008C258E" w:rsidP="0023123F">
      <w:pPr>
        <w:pStyle w:val="Estilo"/>
        <w:numPr>
          <w:ilvl w:val="0"/>
          <w:numId w:val="46"/>
        </w:numPr>
        <w:spacing w:line="360" w:lineRule="auto"/>
        <w:ind w:left="0" w:firstLine="0"/>
        <w:rPr>
          <w:rFonts w:ascii="Arial Nova Light" w:hAnsi="Arial Nova Light"/>
          <w:szCs w:val="24"/>
        </w:rPr>
      </w:pPr>
      <w:r w:rsidRPr="00126723">
        <w:rPr>
          <w:rFonts w:ascii="Arial Nova Light" w:hAnsi="Arial Nova Light"/>
          <w:b/>
          <w:szCs w:val="24"/>
        </w:rPr>
        <w:t>MARCO NORMATIV</w:t>
      </w:r>
      <w:r w:rsidR="00B0312D" w:rsidRPr="00126723">
        <w:rPr>
          <w:rFonts w:ascii="Arial Nova Light" w:hAnsi="Arial Nova Light"/>
          <w:b/>
          <w:szCs w:val="24"/>
        </w:rPr>
        <w:t>O</w:t>
      </w:r>
      <w:r w:rsidR="002622EC" w:rsidRPr="00126723">
        <w:rPr>
          <w:rFonts w:ascii="Arial Nova Light" w:hAnsi="Arial Nova Light"/>
          <w:b/>
          <w:szCs w:val="24"/>
        </w:rPr>
        <w:t>.</w:t>
      </w:r>
      <w:r w:rsidR="0023123F" w:rsidRPr="00126723">
        <w:rPr>
          <w:rFonts w:ascii="Arial Nova Light" w:hAnsi="Arial Nova Light"/>
          <w:b/>
          <w:szCs w:val="24"/>
        </w:rPr>
        <w:t xml:space="preserve">  </w:t>
      </w:r>
    </w:p>
    <w:p w14:paraId="020E2FD0" w14:textId="24B6D11D" w:rsidR="0023123F" w:rsidRPr="00126723" w:rsidRDefault="00343C0E" w:rsidP="00343C0E">
      <w:pPr>
        <w:pStyle w:val="Estilo"/>
        <w:spacing w:line="360" w:lineRule="auto"/>
        <w:rPr>
          <w:rFonts w:ascii="Arial Nova Light" w:eastAsia="Times New Roman" w:hAnsi="Arial Nova Light" w:cs="Arial"/>
          <w:color w:val="000000"/>
          <w:szCs w:val="24"/>
        </w:rPr>
      </w:pPr>
      <w:r w:rsidRPr="00126723">
        <w:rPr>
          <w:rFonts w:ascii="Arial Nova Light" w:eastAsia="Times New Roman" w:hAnsi="Arial Nova Light" w:cs="Arial"/>
          <w:b/>
          <w:bCs/>
          <w:color w:val="000000"/>
          <w:szCs w:val="24"/>
        </w:rPr>
        <w:t>Autodeterminación de los Partidos Políticos.</w:t>
      </w:r>
      <w:r>
        <w:rPr>
          <w:rFonts w:ascii="Arial Nova Light" w:eastAsia="Times New Roman" w:hAnsi="Arial Nova Light" w:cs="Arial"/>
          <w:b/>
          <w:bCs/>
          <w:color w:val="000000"/>
          <w:szCs w:val="24"/>
        </w:rPr>
        <w:t xml:space="preserve">  </w:t>
      </w:r>
      <w:r w:rsidR="0023123F" w:rsidRPr="00126723">
        <w:rPr>
          <w:rFonts w:ascii="Arial Nova Light" w:eastAsia="Times New Roman" w:hAnsi="Arial Nova Light" w:cs="Arial"/>
          <w:color w:val="000000"/>
          <w:szCs w:val="24"/>
        </w:rPr>
        <w:t>Al respecto, Sala Superior, ha establecido que el derecho de autodeterminación de los partidos políticos, reconocida en los artículos 41, Base I y 116 , fracción IX, inciso F de la Constitución Política de los Estados Unidos Mexicanos, Constitución general, implica la facultad de establecer la forma de gobierno y organización que consideren adecuada, conforme a su ideología e intereses políticos, incluidos los mecanismos que estime más apropiados para la selección de sus candidaturas a cargos de elección popular.</w:t>
      </w:r>
    </w:p>
    <w:p w14:paraId="4DFC53CB" w14:textId="77777777" w:rsidR="0023123F" w:rsidRPr="00126723" w:rsidRDefault="0023123F" w:rsidP="0023123F">
      <w:pPr>
        <w:spacing w:after="0" w:line="360" w:lineRule="auto"/>
        <w:jc w:val="both"/>
        <w:rPr>
          <w:rFonts w:ascii="Arial Nova Light" w:eastAsia="Times New Roman" w:hAnsi="Arial Nova Light" w:cs="Arial"/>
          <w:color w:val="000000"/>
          <w:sz w:val="24"/>
          <w:szCs w:val="24"/>
        </w:rPr>
      </w:pPr>
    </w:p>
    <w:p w14:paraId="240AFA04" w14:textId="3FD75DF5" w:rsidR="0023123F" w:rsidRPr="00126723" w:rsidRDefault="0023123F" w:rsidP="0023123F">
      <w:pPr>
        <w:spacing w:after="0" w:line="360" w:lineRule="auto"/>
        <w:jc w:val="both"/>
        <w:rPr>
          <w:rFonts w:ascii="Arial Nova Light" w:eastAsia="Times New Roman" w:hAnsi="Arial Nova Light" w:cs="Arial"/>
          <w:color w:val="000000"/>
          <w:sz w:val="24"/>
          <w:szCs w:val="24"/>
        </w:rPr>
      </w:pPr>
      <w:r w:rsidRPr="00126723">
        <w:rPr>
          <w:rFonts w:ascii="Arial Nova Light" w:eastAsia="Times New Roman" w:hAnsi="Arial Nova Light" w:cs="Arial"/>
          <w:color w:val="000000"/>
          <w:sz w:val="24"/>
          <w:szCs w:val="24"/>
        </w:rPr>
        <w:t>Es decir, los partidos políticos tienen la libertad de crear y establecer sus propias normas en cuanto a definir las estrategias para la consecución de los fines encomendados, siendo uno de ellos</w:t>
      </w:r>
      <w:r w:rsidR="00126723" w:rsidRPr="00126723">
        <w:rPr>
          <w:rFonts w:ascii="Arial Nova Light" w:eastAsia="Times New Roman" w:hAnsi="Arial Nova Light" w:cs="Arial"/>
          <w:color w:val="000000"/>
          <w:sz w:val="24"/>
          <w:szCs w:val="24"/>
        </w:rPr>
        <w:t>:</w:t>
      </w:r>
      <w:r w:rsidRPr="00126723">
        <w:rPr>
          <w:rFonts w:ascii="Arial Nova Light" w:eastAsia="Times New Roman" w:hAnsi="Arial Nova Light" w:cs="Arial"/>
          <w:color w:val="000000"/>
          <w:sz w:val="24"/>
          <w:szCs w:val="24"/>
        </w:rPr>
        <w:t xml:space="preserve"> </w:t>
      </w:r>
      <w:r w:rsidRPr="00126723">
        <w:rPr>
          <w:rFonts w:ascii="Arial Nova Light" w:eastAsia="Times New Roman" w:hAnsi="Arial Nova Light" w:cs="Arial"/>
          <w:b/>
          <w:bCs/>
          <w:color w:val="000000"/>
          <w:sz w:val="24"/>
          <w:szCs w:val="24"/>
        </w:rPr>
        <w:t>precisar sus estrategias políticas</w:t>
      </w:r>
      <w:r w:rsidRPr="00126723">
        <w:rPr>
          <w:rFonts w:ascii="Arial Nova Light" w:eastAsia="Times New Roman" w:hAnsi="Arial Nova Light" w:cs="Arial"/>
          <w:color w:val="000000"/>
          <w:sz w:val="24"/>
          <w:szCs w:val="24"/>
        </w:rPr>
        <w:t>, las cuales están directamente relacionadas, en el caso, con la atribución de evaluar los perfiles de quienes aspiran a un cargo de elección popular, a fin de definir a las personas que cumplirán con sus planes y programas</w:t>
      </w:r>
      <w:r w:rsidRPr="00126723">
        <w:rPr>
          <w:rStyle w:val="Refdenotaalpie"/>
          <w:rFonts w:ascii="Arial Nova Light" w:eastAsia="Times New Roman" w:hAnsi="Arial Nova Light" w:cs="Arial"/>
          <w:color w:val="000000"/>
          <w:sz w:val="24"/>
          <w:szCs w:val="24"/>
        </w:rPr>
        <w:footnoteReference w:id="9"/>
      </w:r>
      <w:r w:rsidRPr="00126723">
        <w:rPr>
          <w:rFonts w:ascii="Arial Nova Light" w:eastAsia="Times New Roman" w:hAnsi="Arial Nova Light" w:cs="Arial"/>
          <w:color w:val="000000"/>
          <w:sz w:val="24"/>
          <w:szCs w:val="24"/>
        </w:rPr>
        <w:t>.</w:t>
      </w:r>
    </w:p>
    <w:p w14:paraId="2B4F2B2D" w14:textId="77777777" w:rsidR="00A12CF1" w:rsidRPr="00126723" w:rsidRDefault="00A12CF1" w:rsidP="0023123F">
      <w:pPr>
        <w:spacing w:after="0" w:line="360" w:lineRule="auto"/>
        <w:jc w:val="both"/>
        <w:rPr>
          <w:rFonts w:ascii="Arial Nova Light" w:eastAsia="Times New Roman" w:hAnsi="Arial Nova Light" w:cs="Times New Roman"/>
          <w:i/>
          <w:iCs/>
          <w:sz w:val="24"/>
          <w:szCs w:val="24"/>
        </w:rPr>
      </w:pPr>
    </w:p>
    <w:p w14:paraId="7FEB6186" w14:textId="65CECFEB" w:rsidR="00067257" w:rsidRPr="00126723" w:rsidRDefault="00A12CF1" w:rsidP="0023123F">
      <w:pPr>
        <w:spacing w:line="360" w:lineRule="auto"/>
        <w:jc w:val="both"/>
        <w:rPr>
          <w:rFonts w:ascii="Arial Nova Light" w:hAnsi="Arial Nova Light"/>
          <w:sz w:val="24"/>
          <w:szCs w:val="24"/>
        </w:rPr>
      </w:pPr>
      <w:r w:rsidRPr="00126723">
        <w:rPr>
          <w:rFonts w:ascii="Arial Nova Light" w:hAnsi="Arial Nova Light"/>
          <w:b/>
          <w:bCs/>
          <w:sz w:val="24"/>
          <w:szCs w:val="24"/>
        </w:rPr>
        <w:t>Del proceso de selección de candidaturas de MORENA</w:t>
      </w:r>
      <w:r w:rsidR="00343C0E">
        <w:rPr>
          <w:rFonts w:ascii="Arial Nova Light" w:hAnsi="Arial Nova Light"/>
          <w:b/>
          <w:bCs/>
          <w:sz w:val="24"/>
          <w:szCs w:val="24"/>
        </w:rPr>
        <w:t xml:space="preserve">. </w:t>
      </w:r>
      <w:r w:rsidR="00343C0E">
        <w:rPr>
          <w:rFonts w:ascii="Arial Nova Light" w:hAnsi="Arial Nova Light"/>
          <w:sz w:val="24"/>
          <w:szCs w:val="24"/>
        </w:rPr>
        <w:t>D</w:t>
      </w:r>
      <w:r w:rsidR="00067257" w:rsidRPr="00126723">
        <w:rPr>
          <w:rFonts w:ascii="Arial Nova Light" w:hAnsi="Arial Nova Light"/>
          <w:sz w:val="24"/>
          <w:szCs w:val="24"/>
        </w:rPr>
        <w:t>e conformidad con los artículos 5, párrafo segundo, 34 numeral 2, inciso d y 47, párrafo 2, de la Ley General de Partidos Políticos, y de conformidad con el criterio reiterado de las Salas Regionales del Tribunal Electoral de Poder Judicial de la Federación, han establecido que, los partidos cuentan con una facultad discrecional para elegir sus candidaturas, siempre que no se torne arbitraria, esto es, se funde y motive en tanto se deriva de su propia normativa para hacer frente a eventualidades.</w:t>
      </w:r>
    </w:p>
    <w:p w14:paraId="100AF21F" w14:textId="2B6A20DF" w:rsidR="001F08BE" w:rsidRPr="00126723" w:rsidRDefault="00067257" w:rsidP="0023123F">
      <w:pPr>
        <w:spacing w:line="360" w:lineRule="auto"/>
        <w:jc w:val="both"/>
        <w:rPr>
          <w:rFonts w:ascii="Arial Nova Light" w:hAnsi="Arial Nova Light"/>
          <w:sz w:val="24"/>
          <w:szCs w:val="24"/>
        </w:rPr>
      </w:pPr>
      <w:r w:rsidRPr="00126723">
        <w:rPr>
          <w:rFonts w:ascii="Arial Nova Light" w:hAnsi="Arial Nova Light"/>
          <w:sz w:val="24"/>
          <w:szCs w:val="24"/>
        </w:rPr>
        <w:t>Por su parte, e</w:t>
      </w:r>
      <w:r w:rsidR="001F08BE" w:rsidRPr="00126723">
        <w:rPr>
          <w:rFonts w:ascii="Arial Nova Light" w:hAnsi="Arial Nova Light"/>
          <w:sz w:val="24"/>
          <w:szCs w:val="24"/>
        </w:rPr>
        <w:t>l artículo 46, inciso c y d del Estatuto de MORENA</w:t>
      </w:r>
      <w:r w:rsidR="002622EC" w:rsidRPr="00126723">
        <w:rPr>
          <w:rFonts w:ascii="Arial Nova Light" w:hAnsi="Arial Nova Light"/>
          <w:sz w:val="24"/>
          <w:szCs w:val="24"/>
        </w:rPr>
        <w:t>, establec</w:t>
      </w:r>
      <w:r w:rsidR="001F08BE" w:rsidRPr="00126723">
        <w:rPr>
          <w:rFonts w:ascii="Arial Nova Light" w:hAnsi="Arial Nova Light"/>
          <w:sz w:val="24"/>
          <w:szCs w:val="24"/>
        </w:rPr>
        <w:t>e</w:t>
      </w:r>
      <w:r w:rsidR="002622EC" w:rsidRPr="00126723">
        <w:rPr>
          <w:rFonts w:ascii="Arial Nova Light" w:hAnsi="Arial Nova Light"/>
          <w:sz w:val="24"/>
          <w:szCs w:val="24"/>
        </w:rPr>
        <w:t xml:space="preserve"> que la </w:t>
      </w:r>
      <w:r w:rsidR="001F08BE" w:rsidRPr="00126723">
        <w:rPr>
          <w:rFonts w:ascii="Arial Nova Light" w:hAnsi="Arial Nova Light"/>
          <w:sz w:val="24"/>
          <w:szCs w:val="24"/>
        </w:rPr>
        <w:t xml:space="preserve">Comisión De Elecciones </w:t>
      </w:r>
      <w:r w:rsidR="002622EC" w:rsidRPr="00126723">
        <w:rPr>
          <w:rFonts w:ascii="Arial Nova Light" w:hAnsi="Arial Nova Light"/>
          <w:sz w:val="24"/>
          <w:szCs w:val="24"/>
        </w:rPr>
        <w:t xml:space="preserve">cuenta con atribuciones para analizar la documentación presentada por los aspirantes para verificar el cumplimiento de los requisitos de ley, así como valorar y calificar los perfiles de los aspirantes a las candidaturas externas, de conformidad con lo dispuesto </w:t>
      </w:r>
      <w:r w:rsidR="008D77EE">
        <w:rPr>
          <w:rFonts w:ascii="Arial Nova Light" w:hAnsi="Arial Nova Light"/>
          <w:sz w:val="24"/>
          <w:szCs w:val="24"/>
        </w:rPr>
        <w:t>en los requisitos establecidos en la convocatoria y</w:t>
      </w:r>
      <w:r w:rsidR="002622EC" w:rsidRPr="00126723">
        <w:rPr>
          <w:rFonts w:ascii="Arial Nova Light" w:hAnsi="Arial Nova Light"/>
          <w:sz w:val="24"/>
          <w:szCs w:val="24"/>
        </w:rPr>
        <w:t xml:space="preserve"> de acuerdo con los intereses del propio partido.</w:t>
      </w:r>
    </w:p>
    <w:p w14:paraId="7BA149DF" w14:textId="5DE493E2" w:rsidR="002622EC" w:rsidRPr="00126723" w:rsidRDefault="002622EC" w:rsidP="0023123F">
      <w:pPr>
        <w:spacing w:line="360" w:lineRule="auto"/>
        <w:jc w:val="both"/>
        <w:rPr>
          <w:rFonts w:ascii="Arial Nova Light" w:hAnsi="Arial Nova Light"/>
          <w:sz w:val="24"/>
          <w:szCs w:val="24"/>
        </w:rPr>
      </w:pPr>
      <w:r w:rsidRPr="00126723">
        <w:rPr>
          <w:rFonts w:ascii="Arial Nova Light" w:hAnsi="Arial Nova Light"/>
          <w:sz w:val="24"/>
          <w:szCs w:val="24"/>
        </w:rPr>
        <w:t xml:space="preserve">Así mismo, dicha atribución se </w:t>
      </w:r>
      <w:r w:rsidR="001F08BE" w:rsidRPr="00126723">
        <w:rPr>
          <w:rFonts w:ascii="Arial Nova Light" w:hAnsi="Arial Nova Light"/>
          <w:sz w:val="24"/>
          <w:szCs w:val="24"/>
        </w:rPr>
        <w:t>trata</w:t>
      </w:r>
      <w:r w:rsidRPr="00126723">
        <w:rPr>
          <w:rFonts w:ascii="Arial Nova Light" w:hAnsi="Arial Nova Light"/>
          <w:sz w:val="24"/>
          <w:szCs w:val="24"/>
        </w:rPr>
        <w:t xml:space="preserve"> de una facultad discrecional establecida en el propio artículo 46, inciso d, del Estatuto</w:t>
      </w:r>
      <w:r w:rsidR="000308CA" w:rsidRPr="00126723">
        <w:rPr>
          <w:rFonts w:ascii="Arial Nova Light" w:hAnsi="Arial Nova Light"/>
          <w:sz w:val="24"/>
          <w:szCs w:val="24"/>
        </w:rPr>
        <w:t xml:space="preserve">. </w:t>
      </w:r>
    </w:p>
    <w:p w14:paraId="7F826BB1" w14:textId="632EE1D2" w:rsidR="000308CA" w:rsidRPr="00126723" w:rsidRDefault="000308CA" w:rsidP="0023123F">
      <w:pPr>
        <w:spacing w:line="360" w:lineRule="auto"/>
        <w:jc w:val="both"/>
        <w:rPr>
          <w:rFonts w:ascii="Arial Nova Light" w:hAnsi="Arial Nova Light"/>
          <w:sz w:val="24"/>
          <w:szCs w:val="24"/>
        </w:rPr>
      </w:pPr>
      <w:r w:rsidRPr="00126723">
        <w:rPr>
          <w:rFonts w:ascii="Arial Nova Light" w:hAnsi="Arial Nova Light"/>
          <w:sz w:val="24"/>
          <w:szCs w:val="24"/>
        </w:rPr>
        <w:lastRenderedPageBreak/>
        <w:t>Por otr</w:t>
      </w:r>
      <w:r w:rsidR="00067257" w:rsidRPr="00126723">
        <w:rPr>
          <w:rFonts w:ascii="Arial Nova Light" w:hAnsi="Arial Nova Light"/>
          <w:sz w:val="24"/>
          <w:szCs w:val="24"/>
        </w:rPr>
        <w:t xml:space="preserve">o lado, </w:t>
      </w:r>
      <w:r w:rsidRPr="00126723">
        <w:rPr>
          <w:rFonts w:ascii="Arial Nova Light" w:hAnsi="Arial Nova Light"/>
          <w:sz w:val="24"/>
          <w:szCs w:val="24"/>
        </w:rPr>
        <w:t>los artículos 44, inciso w, y 46, del Estatuto, señalan que la Comisión de Elecciones, tiene facultades para seleccionar a los aspirantes que pudieran contender por una candidatura a un cargo de elección popular, y, por ende, tal determinación se encuentra debidamente fundamentada en estricta observancia a los preceptos legales y estatutarios.</w:t>
      </w:r>
    </w:p>
    <w:p w14:paraId="42971AE2" w14:textId="6EA29312" w:rsidR="002622EC" w:rsidRPr="00126723" w:rsidRDefault="002622EC" w:rsidP="0023123F">
      <w:pPr>
        <w:spacing w:line="360" w:lineRule="auto"/>
        <w:jc w:val="both"/>
        <w:rPr>
          <w:rFonts w:ascii="Arial Nova Light" w:hAnsi="Arial Nova Light"/>
          <w:sz w:val="24"/>
          <w:szCs w:val="24"/>
        </w:rPr>
      </w:pPr>
      <w:r w:rsidRPr="00126723">
        <w:rPr>
          <w:rFonts w:ascii="Arial Nova Light" w:hAnsi="Arial Nova Light"/>
          <w:sz w:val="24"/>
          <w:szCs w:val="24"/>
        </w:rPr>
        <w:t xml:space="preserve">El artículo 46, inciso d, del </w:t>
      </w:r>
      <w:r w:rsidR="00A12CF1" w:rsidRPr="00126723">
        <w:rPr>
          <w:rFonts w:ascii="Arial Nova Light" w:hAnsi="Arial Nova Light"/>
          <w:sz w:val="24"/>
          <w:szCs w:val="24"/>
        </w:rPr>
        <w:t xml:space="preserve">propio </w:t>
      </w:r>
      <w:r w:rsidRPr="00126723">
        <w:rPr>
          <w:rFonts w:ascii="Arial Nova Light" w:hAnsi="Arial Nova Light"/>
          <w:sz w:val="24"/>
          <w:szCs w:val="24"/>
        </w:rPr>
        <w:t xml:space="preserve">Estatuto concede tal atribución a la </w:t>
      </w:r>
      <w:r w:rsidR="00A12CF1" w:rsidRPr="00126723">
        <w:rPr>
          <w:rFonts w:ascii="Arial Nova Light" w:hAnsi="Arial Nova Light"/>
          <w:sz w:val="24"/>
          <w:szCs w:val="24"/>
        </w:rPr>
        <w:t>Comisión De Elecciones</w:t>
      </w:r>
      <w:r w:rsidRPr="00126723">
        <w:rPr>
          <w:rFonts w:ascii="Arial Nova Light" w:hAnsi="Arial Nova Light"/>
          <w:sz w:val="24"/>
          <w:szCs w:val="24"/>
        </w:rPr>
        <w:t>, con el propósito de que el partido político pueda cumplir sus finalidades constitucionales y legales, como es, que por su conducto los ciudadanos accedan a los cargos públicos.</w:t>
      </w:r>
    </w:p>
    <w:p w14:paraId="45413A89" w14:textId="42E51161" w:rsidR="00BE645C" w:rsidRPr="00126723" w:rsidRDefault="008C258E" w:rsidP="0023123F">
      <w:pPr>
        <w:pStyle w:val="Estilo"/>
        <w:numPr>
          <w:ilvl w:val="0"/>
          <w:numId w:val="46"/>
        </w:numPr>
        <w:spacing w:line="360" w:lineRule="auto"/>
        <w:ind w:left="0" w:firstLine="0"/>
        <w:rPr>
          <w:rFonts w:ascii="Arial Nova Light" w:hAnsi="Arial Nova Light" w:cs="Arial"/>
          <w:b/>
          <w:bCs/>
          <w:szCs w:val="24"/>
        </w:rPr>
      </w:pPr>
      <w:r w:rsidRPr="00126723">
        <w:rPr>
          <w:rFonts w:ascii="Arial Nova Light" w:hAnsi="Arial Nova Light"/>
          <w:b/>
          <w:szCs w:val="24"/>
        </w:rPr>
        <w:t>EN CUANTO A LA EXTEMPORANEIDAD</w:t>
      </w:r>
      <w:r w:rsidR="00B0312D" w:rsidRPr="00126723">
        <w:rPr>
          <w:rFonts w:ascii="Arial Nova Light" w:hAnsi="Arial Nova Light"/>
          <w:b/>
          <w:szCs w:val="24"/>
        </w:rPr>
        <w:t xml:space="preserve">. </w:t>
      </w:r>
      <w:r w:rsidR="00B0312D" w:rsidRPr="00126723">
        <w:rPr>
          <w:rFonts w:ascii="Arial Nova Light" w:hAnsi="Arial Nova Light"/>
          <w:bCs/>
          <w:szCs w:val="24"/>
        </w:rPr>
        <w:t xml:space="preserve">De los escritos </w:t>
      </w:r>
      <w:r w:rsidR="00BE645C" w:rsidRPr="00126723">
        <w:rPr>
          <w:rFonts w:ascii="Arial Nova Light" w:hAnsi="Arial Nova Light"/>
          <w:bCs/>
          <w:szCs w:val="24"/>
        </w:rPr>
        <w:t>presentados</w:t>
      </w:r>
      <w:r w:rsidR="00B0312D" w:rsidRPr="00126723">
        <w:rPr>
          <w:rFonts w:ascii="Arial Nova Light" w:hAnsi="Arial Nova Light"/>
          <w:bCs/>
          <w:szCs w:val="24"/>
        </w:rPr>
        <w:t xml:space="preserve"> se adviertes tres </w:t>
      </w:r>
      <w:r w:rsidR="0009557C" w:rsidRPr="00126723">
        <w:rPr>
          <w:rFonts w:ascii="Arial Nova Light" w:hAnsi="Arial Nova Light"/>
          <w:bCs/>
          <w:szCs w:val="24"/>
        </w:rPr>
        <w:t xml:space="preserve">demandas (TEEA-JDC-108/2021, TEEA-JDC-109/2021, y TEEA-JDC-110/2021), en las que los promoventes </w:t>
      </w:r>
      <w:r w:rsidR="002970EE" w:rsidRPr="00126723">
        <w:rPr>
          <w:rFonts w:ascii="Arial Nova Light" w:hAnsi="Arial Nova Light"/>
          <w:bCs/>
          <w:szCs w:val="24"/>
        </w:rPr>
        <w:t xml:space="preserve">se duelen de la </w:t>
      </w:r>
      <w:r w:rsidR="002970EE" w:rsidRPr="00126723">
        <w:rPr>
          <w:rFonts w:ascii="Arial Nova Light" w:hAnsi="Arial Nova Light"/>
          <w:b/>
          <w:szCs w:val="24"/>
        </w:rPr>
        <w:t>determinación de extemporaneidad</w:t>
      </w:r>
      <w:r w:rsidR="002970EE" w:rsidRPr="00126723">
        <w:rPr>
          <w:rFonts w:ascii="Arial Nova Light" w:hAnsi="Arial Nova Light"/>
          <w:bCs/>
          <w:szCs w:val="24"/>
        </w:rPr>
        <w:t>,</w:t>
      </w:r>
      <w:r w:rsidR="00BE645C" w:rsidRPr="00126723">
        <w:rPr>
          <w:rFonts w:ascii="Arial Nova Light" w:hAnsi="Arial Nova Light"/>
          <w:bCs/>
          <w:szCs w:val="24"/>
        </w:rPr>
        <w:t xml:space="preserve"> contenida en el Acuerdo impugnado, </w:t>
      </w:r>
      <w:r w:rsidR="002970EE" w:rsidRPr="00126723">
        <w:rPr>
          <w:rFonts w:ascii="Arial Nova Light" w:hAnsi="Arial Nova Light"/>
          <w:bCs/>
          <w:szCs w:val="24"/>
        </w:rPr>
        <w:t xml:space="preserve">sin afrontar directamente las razones </w:t>
      </w:r>
      <w:r w:rsidR="00BE645C" w:rsidRPr="00126723">
        <w:rPr>
          <w:rFonts w:ascii="Arial Nova Light" w:hAnsi="Arial Nova Light"/>
          <w:bCs/>
          <w:szCs w:val="24"/>
        </w:rPr>
        <w:t>por las que</w:t>
      </w:r>
      <w:r w:rsidR="002970EE" w:rsidRPr="00126723">
        <w:rPr>
          <w:rFonts w:ascii="Arial Nova Light" w:hAnsi="Arial Nova Light"/>
          <w:bCs/>
          <w:szCs w:val="24"/>
        </w:rPr>
        <w:t xml:space="preserve"> fueron desechados</w:t>
      </w:r>
      <w:r w:rsidR="00B15C6D" w:rsidRPr="00126723">
        <w:rPr>
          <w:rFonts w:ascii="Arial Nova Light" w:hAnsi="Arial Nova Light"/>
          <w:bCs/>
          <w:szCs w:val="24"/>
        </w:rPr>
        <w:t xml:space="preserve"> sus asuntos</w:t>
      </w:r>
      <w:r w:rsidR="002970EE" w:rsidRPr="00126723">
        <w:rPr>
          <w:rFonts w:ascii="Arial Nova Light" w:hAnsi="Arial Nova Light"/>
          <w:bCs/>
          <w:szCs w:val="24"/>
        </w:rPr>
        <w:t xml:space="preserve"> por esta causa procesal. Sino que</w:t>
      </w:r>
      <w:r w:rsidR="00B15C6D" w:rsidRPr="00126723">
        <w:rPr>
          <w:rFonts w:ascii="Arial Nova Light" w:hAnsi="Arial Nova Light"/>
          <w:bCs/>
          <w:szCs w:val="24"/>
        </w:rPr>
        <w:t xml:space="preserve"> </w:t>
      </w:r>
      <w:r w:rsidR="002970EE" w:rsidRPr="00126723">
        <w:rPr>
          <w:rFonts w:ascii="Arial Nova Light" w:hAnsi="Arial Nova Light"/>
          <w:bCs/>
          <w:szCs w:val="24"/>
        </w:rPr>
        <w:t xml:space="preserve">pretenden enderezar </w:t>
      </w:r>
      <w:r w:rsidR="00BE645C" w:rsidRPr="00126723">
        <w:rPr>
          <w:rFonts w:ascii="Arial Nova Light" w:hAnsi="Arial Nova Light"/>
          <w:bCs/>
          <w:szCs w:val="24"/>
        </w:rPr>
        <w:t xml:space="preserve">en su favor, señalando que esta determinación les causa agravio al no haber sido atendidas sus pretensiones de fondo. </w:t>
      </w:r>
    </w:p>
    <w:p w14:paraId="6A96461E" w14:textId="77777777" w:rsidR="000353C9" w:rsidRPr="00126723" w:rsidRDefault="000353C9" w:rsidP="000353C9">
      <w:pPr>
        <w:pStyle w:val="Prrafodelista"/>
        <w:rPr>
          <w:rFonts w:ascii="Arial Nova Light" w:hAnsi="Arial Nova Light" w:cs="Arial"/>
          <w:b/>
          <w:bCs/>
          <w:sz w:val="24"/>
          <w:szCs w:val="24"/>
        </w:rPr>
      </w:pPr>
    </w:p>
    <w:p w14:paraId="50D73197" w14:textId="006BEDAA" w:rsidR="000353C9" w:rsidRPr="00126723" w:rsidRDefault="000353C9" w:rsidP="000353C9">
      <w:pPr>
        <w:pStyle w:val="Estilo"/>
        <w:spacing w:line="360" w:lineRule="auto"/>
        <w:rPr>
          <w:rFonts w:ascii="Arial Nova Light" w:hAnsi="Arial Nova Light" w:cs="Arial"/>
          <w:szCs w:val="24"/>
        </w:rPr>
      </w:pPr>
      <w:r w:rsidRPr="00126723">
        <w:rPr>
          <w:rFonts w:ascii="Arial Nova Light" w:hAnsi="Arial Nova Light" w:cs="Arial"/>
          <w:b/>
          <w:bCs/>
          <w:szCs w:val="24"/>
        </w:rPr>
        <w:t xml:space="preserve">En principio, </w:t>
      </w:r>
      <w:r w:rsidRPr="00126723">
        <w:rPr>
          <w:rFonts w:ascii="Arial Nova Light" w:hAnsi="Arial Nova Light" w:cs="Arial"/>
          <w:szCs w:val="24"/>
        </w:rPr>
        <w:t xml:space="preserve">este Tribunal considera </w:t>
      </w:r>
      <w:r w:rsidRPr="00126723">
        <w:rPr>
          <w:rFonts w:ascii="Arial Nova Light" w:hAnsi="Arial Nova Light" w:cs="Arial"/>
          <w:b/>
          <w:bCs/>
          <w:szCs w:val="24"/>
        </w:rPr>
        <w:t>INFUNDADOS e INOPERANTES</w:t>
      </w:r>
      <w:r w:rsidRPr="00126723">
        <w:rPr>
          <w:rFonts w:ascii="Arial Nova Light" w:hAnsi="Arial Nova Light" w:cs="Arial"/>
          <w:szCs w:val="24"/>
        </w:rPr>
        <w:t xml:space="preserve"> los agravios que hacen valer quienes promueven, por las siguientes razones: </w:t>
      </w:r>
    </w:p>
    <w:p w14:paraId="47894FD3" w14:textId="79C82CEA" w:rsidR="000353C9" w:rsidRPr="00126723" w:rsidRDefault="000353C9" w:rsidP="000353C9">
      <w:pPr>
        <w:pStyle w:val="Estilo"/>
        <w:spacing w:line="360" w:lineRule="auto"/>
        <w:rPr>
          <w:rFonts w:ascii="Arial Nova Light" w:hAnsi="Arial Nova Light" w:cs="Arial"/>
          <w:szCs w:val="24"/>
        </w:rPr>
      </w:pPr>
    </w:p>
    <w:p w14:paraId="64158F88" w14:textId="19E7B56D" w:rsidR="00B15C6D" w:rsidRPr="00126723" w:rsidRDefault="000353C9" w:rsidP="00B15C6D">
      <w:pPr>
        <w:pStyle w:val="Estilo"/>
        <w:spacing w:line="360" w:lineRule="auto"/>
        <w:rPr>
          <w:rFonts w:ascii="Arial Nova Light" w:hAnsi="Arial Nova Light" w:cs="Arial"/>
          <w:szCs w:val="24"/>
        </w:rPr>
      </w:pPr>
      <w:r w:rsidRPr="00126723">
        <w:rPr>
          <w:rFonts w:ascii="Arial Nova Light" w:hAnsi="Arial Nova Light" w:cs="Arial"/>
          <w:szCs w:val="24"/>
        </w:rPr>
        <w:t xml:space="preserve">Son infundados, en virtud de que </w:t>
      </w:r>
      <w:r w:rsidR="00B15C6D" w:rsidRPr="00126723">
        <w:rPr>
          <w:rFonts w:ascii="Arial Nova Light" w:hAnsi="Arial Nova Light" w:cs="Arial"/>
          <w:szCs w:val="24"/>
        </w:rPr>
        <w:t>los artículos 39 y 40 del Reglamento de la CNHJ disponen que el procedimiento sancionador electoral deberá promoverse en el plazo de 4 (cuatro) días naturales a partir de ocurrido el hecho denunciado o de haber tenido conocimiento del mismo y que para efectos de dicho procedimiento todos los días y horas son hábiles. Asimismo, establecen que los plazos y términos se computarán de momento a momento, si están señalados por días, estos se considerarán de 24 (veinticuatro) horas.</w:t>
      </w:r>
    </w:p>
    <w:p w14:paraId="1724ECEB" w14:textId="7EA1BF7F" w:rsidR="00EF6F75" w:rsidRPr="00126723" w:rsidRDefault="00EF6F75" w:rsidP="00B15C6D">
      <w:pPr>
        <w:pStyle w:val="Estilo"/>
        <w:spacing w:line="360" w:lineRule="auto"/>
        <w:rPr>
          <w:rFonts w:ascii="Arial Nova Light" w:hAnsi="Arial Nova Light" w:cs="Arial"/>
          <w:szCs w:val="24"/>
        </w:rPr>
      </w:pPr>
    </w:p>
    <w:p w14:paraId="1E3C59F5" w14:textId="2DE2B9DD" w:rsidR="00EF6F75" w:rsidRPr="00126723" w:rsidRDefault="00EF6F75" w:rsidP="00B15C6D">
      <w:pPr>
        <w:pStyle w:val="Estilo"/>
        <w:spacing w:line="360" w:lineRule="auto"/>
        <w:rPr>
          <w:rFonts w:ascii="Arial Nova Light" w:hAnsi="Arial Nova Light" w:cs="Arial"/>
          <w:szCs w:val="24"/>
        </w:rPr>
      </w:pPr>
      <w:r w:rsidRPr="00126723">
        <w:rPr>
          <w:rFonts w:ascii="Arial Nova Light" w:hAnsi="Arial Nova Light" w:cs="Arial"/>
          <w:szCs w:val="24"/>
        </w:rPr>
        <w:t xml:space="preserve">Al respecto, </w:t>
      </w:r>
      <w:r w:rsidR="0056157F" w:rsidRPr="00126723">
        <w:rPr>
          <w:rFonts w:ascii="Arial Nova Light" w:hAnsi="Arial Nova Light" w:cs="Arial"/>
          <w:szCs w:val="24"/>
        </w:rPr>
        <w:t xml:space="preserve">la autoridad responsable en el acuerdo impugnado, </w:t>
      </w:r>
      <w:r w:rsidR="0056157F" w:rsidRPr="00126723">
        <w:rPr>
          <w:rFonts w:ascii="Arial Nova Light" w:hAnsi="Arial Nova Light" w:cs="Arial"/>
          <w:i/>
          <w:iCs/>
          <w:szCs w:val="24"/>
        </w:rPr>
        <w:t xml:space="preserve">con base en las constancias y acuses de presentación de medios de impugnación que obran en autos de sus expedientes, </w:t>
      </w:r>
      <w:r w:rsidR="0056157F" w:rsidRPr="00126723">
        <w:rPr>
          <w:rFonts w:ascii="Arial Nova Light" w:hAnsi="Arial Nova Light" w:cs="Arial"/>
          <w:szCs w:val="24"/>
        </w:rPr>
        <w:t xml:space="preserve">establece que los promoventes </w:t>
      </w:r>
      <w:r w:rsidR="00DD3D80" w:rsidRPr="00126723">
        <w:rPr>
          <w:rFonts w:ascii="Arial Nova Light" w:hAnsi="Arial Nova Light" w:cs="Arial"/>
          <w:szCs w:val="24"/>
        </w:rPr>
        <w:t xml:space="preserve">ALEJANDRO BARBOSA LORETO, ELVIRA AGUILAR LÓPEZ Y OMAR ALEJANDRO MORALES LÓPEZ, presentaron sus medios de impugnación en contra de actos </w:t>
      </w:r>
      <w:r w:rsidR="001E36C6" w:rsidRPr="00126723">
        <w:rPr>
          <w:rFonts w:ascii="Arial Nova Light" w:hAnsi="Arial Nova Light" w:cs="Arial"/>
          <w:szCs w:val="24"/>
        </w:rPr>
        <w:t xml:space="preserve">de fecha 30 de marzo relativos a la “relación de solicitudes de registro aprobadas”, así como actos previos a esa fecha. </w:t>
      </w:r>
    </w:p>
    <w:p w14:paraId="6E0124BB" w14:textId="3CEB04C8" w:rsidR="001E36C6" w:rsidRPr="00126723" w:rsidRDefault="001E36C6" w:rsidP="00B15C6D">
      <w:pPr>
        <w:pStyle w:val="Estilo"/>
        <w:spacing w:line="360" w:lineRule="auto"/>
        <w:rPr>
          <w:rFonts w:ascii="Arial Nova Light" w:hAnsi="Arial Nova Light" w:cs="Arial"/>
          <w:szCs w:val="24"/>
        </w:rPr>
      </w:pPr>
    </w:p>
    <w:p w14:paraId="1F234766" w14:textId="4D7A7847" w:rsidR="001E36C6" w:rsidRPr="00126723" w:rsidRDefault="001E36C6" w:rsidP="00B15C6D">
      <w:pPr>
        <w:pStyle w:val="Estilo"/>
        <w:spacing w:line="360" w:lineRule="auto"/>
        <w:rPr>
          <w:rFonts w:ascii="Arial Nova Light" w:hAnsi="Arial Nova Light" w:cs="Arial"/>
          <w:szCs w:val="24"/>
        </w:rPr>
      </w:pPr>
      <w:r w:rsidRPr="00126723">
        <w:rPr>
          <w:rFonts w:ascii="Arial Nova Light" w:hAnsi="Arial Nova Light" w:cs="Arial"/>
          <w:szCs w:val="24"/>
        </w:rPr>
        <w:t xml:space="preserve">En esa secuencia, los promoventes señalados en el párrafo anterior, presentaron medios de impugnación el día </w:t>
      </w:r>
      <w:r w:rsidR="002A5389" w:rsidRPr="00126723">
        <w:rPr>
          <w:rFonts w:ascii="Arial Nova Light" w:hAnsi="Arial Nova Light" w:cs="Arial"/>
          <w:szCs w:val="24"/>
        </w:rPr>
        <w:t xml:space="preserve">cuatro de abril, es decir el día QUINTO, posterior a la fecha de emisión y notificación por estrados del acto impugnado, y por tanto fuera del plazo previsto para interponer recurso alguno. </w:t>
      </w:r>
    </w:p>
    <w:p w14:paraId="6E650AEA" w14:textId="3560AC05" w:rsidR="002A5389" w:rsidRPr="00126723" w:rsidRDefault="002A5389" w:rsidP="00B15C6D">
      <w:pPr>
        <w:pStyle w:val="Estilo"/>
        <w:spacing w:line="360" w:lineRule="auto"/>
        <w:rPr>
          <w:rFonts w:ascii="Arial Nova Light" w:hAnsi="Arial Nova Light" w:cs="Arial"/>
          <w:szCs w:val="24"/>
        </w:rPr>
      </w:pPr>
    </w:p>
    <w:p w14:paraId="58B3FCC7" w14:textId="4B400E5E" w:rsidR="002A5389" w:rsidRPr="00126723" w:rsidRDefault="003A4A35" w:rsidP="00B15C6D">
      <w:pPr>
        <w:pStyle w:val="Estilo"/>
        <w:spacing w:line="360" w:lineRule="auto"/>
        <w:rPr>
          <w:rFonts w:ascii="Arial Nova Light" w:hAnsi="Arial Nova Light" w:cs="Arial"/>
          <w:szCs w:val="24"/>
        </w:rPr>
      </w:pPr>
      <w:r w:rsidRPr="00126723">
        <w:rPr>
          <w:rFonts w:ascii="Arial Nova Light" w:hAnsi="Arial Nova Light" w:cs="Arial"/>
          <w:szCs w:val="24"/>
        </w:rPr>
        <w:lastRenderedPageBreak/>
        <w:t xml:space="preserve">De tal suerte, la determinación de extemporaneidad es legal, por lo que resulta infundado agraviarse en contra, bajo el entendimiento que los promoventes no se duelen frontalmente de </w:t>
      </w:r>
      <w:r w:rsidR="00B627DC" w:rsidRPr="00126723">
        <w:rPr>
          <w:rFonts w:ascii="Arial Nova Light" w:hAnsi="Arial Nova Light" w:cs="Arial"/>
          <w:szCs w:val="24"/>
        </w:rPr>
        <w:t xml:space="preserve">este hecho. </w:t>
      </w:r>
    </w:p>
    <w:p w14:paraId="737405E9" w14:textId="4513ACB6" w:rsidR="00B627DC" w:rsidRPr="00126723" w:rsidRDefault="00B627DC" w:rsidP="00B15C6D">
      <w:pPr>
        <w:pStyle w:val="Estilo"/>
        <w:spacing w:line="360" w:lineRule="auto"/>
        <w:rPr>
          <w:rFonts w:ascii="Arial Nova Light" w:hAnsi="Arial Nova Light" w:cs="Arial"/>
          <w:szCs w:val="24"/>
        </w:rPr>
      </w:pPr>
    </w:p>
    <w:p w14:paraId="1ED59FB4" w14:textId="1B819D8E" w:rsidR="00B627DC" w:rsidRPr="00126723" w:rsidRDefault="00B627DC" w:rsidP="00B15C6D">
      <w:pPr>
        <w:pStyle w:val="Estilo"/>
        <w:spacing w:line="360" w:lineRule="auto"/>
        <w:rPr>
          <w:rFonts w:ascii="Arial Nova Light" w:hAnsi="Arial Nova Light" w:cs="Arial"/>
          <w:szCs w:val="24"/>
        </w:rPr>
      </w:pPr>
      <w:r w:rsidRPr="00126723">
        <w:rPr>
          <w:rFonts w:ascii="Arial Nova Light" w:hAnsi="Arial Nova Light" w:cs="Arial"/>
          <w:szCs w:val="24"/>
        </w:rPr>
        <w:t xml:space="preserve">Luego entonces, el promovente pretende esgrimir los agravios de los que se duele en su acto primigenio, en contra o en relación con el fondo de sus pretensiones que son en contra de la designación de candidaturas, así como el procedimiento y mecanismos de selección interna del partido MORENA. </w:t>
      </w:r>
    </w:p>
    <w:p w14:paraId="24CFCE18" w14:textId="56861A77" w:rsidR="00B627DC" w:rsidRPr="00126723" w:rsidRDefault="00B627DC" w:rsidP="00B15C6D">
      <w:pPr>
        <w:pStyle w:val="Estilo"/>
        <w:spacing w:line="360" w:lineRule="auto"/>
        <w:rPr>
          <w:rFonts w:ascii="Arial Nova Light" w:hAnsi="Arial Nova Light" w:cs="Arial"/>
          <w:szCs w:val="24"/>
        </w:rPr>
      </w:pPr>
    </w:p>
    <w:p w14:paraId="71B224D0" w14:textId="3AE78A0B" w:rsidR="00B627DC" w:rsidRPr="00126723" w:rsidRDefault="00B627DC" w:rsidP="00B15C6D">
      <w:pPr>
        <w:pStyle w:val="Estilo"/>
        <w:spacing w:line="360" w:lineRule="auto"/>
        <w:rPr>
          <w:rFonts w:ascii="Arial Nova Light" w:hAnsi="Arial Nova Light" w:cs="Arial"/>
          <w:szCs w:val="24"/>
        </w:rPr>
      </w:pPr>
      <w:r w:rsidRPr="00126723">
        <w:rPr>
          <w:rFonts w:ascii="Arial Nova Light" w:hAnsi="Arial Nova Light" w:cs="Arial"/>
          <w:szCs w:val="24"/>
        </w:rPr>
        <w:t xml:space="preserve">En ese sentido, resultan </w:t>
      </w:r>
      <w:r w:rsidRPr="00126723">
        <w:rPr>
          <w:rFonts w:ascii="Arial Nova Light" w:hAnsi="Arial Nova Light" w:cs="Arial"/>
          <w:b/>
          <w:bCs/>
          <w:szCs w:val="24"/>
        </w:rPr>
        <w:t>inoperantes</w:t>
      </w:r>
      <w:r w:rsidRPr="00126723">
        <w:rPr>
          <w:rFonts w:ascii="Arial Nova Light" w:hAnsi="Arial Nova Light" w:cs="Arial"/>
          <w:szCs w:val="24"/>
        </w:rPr>
        <w:t xml:space="preserve"> sus agravios, </w:t>
      </w:r>
      <w:r w:rsidR="008F064D" w:rsidRPr="00126723">
        <w:rPr>
          <w:rFonts w:ascii="Arial Nova Light" w:hAnsi="Arial Nova Light" w:cs="Arial"/>
          <w:szCs w:val="24"/>
        </w:rPr>
        <w:t xml:space="preserve">toda vez que reitera los mismos que hace valer en el asunto que origina el presente juicio y en donde correctamente fueron desechados por </w:t>
      </w:r>
      <w:r w:rsidR="003966D6">
        <w:rPr>
          <w:rFonts w:ascii="Arial Nova Light" w:hAnsi="Arial Nova Light" w:cs="Arial"/>
          <w:szCs w:val="24"/>
        </w:rPr>
        <w:t>e</w:t>
      </w:r>
      <w:r w:rsidR="008F064D" w:rsidRPr="00126723">
        <w:rPr>
          <w:rFonts w:ascii="Arial Nova Light" w:hAnsi="Arial Nova Light" w:cs="Arial"/>
          <w:szCs w:val="24"/>
        </w:rPr>
        <w:t xml:space="preserve">xtemporáneos. </w:t>
      </w:r>
    </w:p>
    <w:p w14:paraId="689F29B8" w14:textId="159D6F0F" w:rsidR="0047088C" w:rsidRPr="00126723" w:rsidRDefault="0047088C" w:rsidP="0047088C">
      <w:pPr>
        <w:pBdr>
          <w:top w:val="nil"/>
          <w:left w:val="nil"/>
          <w:bottom w:val="nil"/>
          <w:right w:val="nil"/>
          <w:between w:val="nil"/>
        </w:pBdr>
        <w:spacing w:before="280" w:after="280" w:line="360" w:lineRule="auto"/>
        <w:jc w:val="both"/>
        <w:rPr>
          <w:rFonts w:ascii="Arial Nova Light" w:eastAsia="Arial Nova" w:hAnsi="Arial Nova Light" w:cs="Arial Nova"/>
          <w:color w:val="000000"/>
          <w:sz w:val="24"/>
          <w:szCs w:val="24"/>
        </w:rPr>
      </w:pPr>
      <w:r w:rsidRPr="00126723">
        <w:rPr>
          <w:rFonts w:ascii="Arial Nova Light" w:eastAsia="Arial Nova" w:hAnsi="Arial Nova Light" w:cs="Arial Nova"/>
          <w:color w:val="000000"/>
          <w:sz w:val="24"/>
          <w:szCs w:val="24"/>
        </w:rPr>
        <w:t xml:space="preserve">En ese entendimiento, los motivos de disenso son inoperantes al ser los mismos que fueron planteados por el actor en primera instancia.   Sirve de apoyo a lo expuesto, por analogía, la tesis XXVI/97 de la Sala Superior, de rubro “AGRAVIOS EN RECONSIDERACIÓN. SON INOPERANTES SI REPRODUCEN LOS DEL JUICIO DE INCONFORMIDAD”.  Asimismo, el criterio sostenido por la Segunda Sala de la Suprema Corte de Justicia de la Nación, en la jurisprudencia 2a./J. 62/2008, cuyo rubro es </w:t>
      </w:r>
      <w:r w:rsidRPr="00377005">
        <w:rPr>
          <w:rFonts w:ascii="Arial Nova Light" w:eastAsia="Arial Nova" w:hAnsi="Arial Nova Light" w:cs="Arial Nova"/>
          <w:b/>
          <w:bCs/>
          <w:color w:val="000000"/>
          <w:sz w:val="24"/>
          <w:szCs w:val="24"/>
        </w:rPr>
        <w:t>“AGRAVIOS INOPERANTES EN LA REVISIÓN. SON AQUELLOS QUE REPRODUCEN, CASI LITERALMENTE, LOS CONCEPTOS DE VIOLACIÓN, SIN CONTROVERTIR LAS CONSIDERACIONES DE LA SENTENCIA RECURRIDA”.</w:t>
      </w:r>
      <w:r w:rsidRPr="00126723">
        <w:rPr>
          <w:rFonts w:ascii="Arial Nova Light" w:eastAsia="Arial Nova" w:hAnsi="Arial Nova Light" w:cs="Arial Nova"/>
          <w:color w:val="000000"/>
          <w:sz w:val="24"/>
          <w:szCs w:val="24"/>
        </w:rPr>
        <w:t xml:space="preserve"> </w:t>
      </w:r>
    </w:p>
    <w:p w14:paraId="5415703D" w14:textId="49FA3D69" w:rsidR="008C258E" w:rsidRPr="00126723" w:rsidRDefault="000334CF" w:rsidP="00875C50">
      <w:pPr>
        <w:pBdr>
          <w:top w:val="nil"/>
          <w:left w:val="nil"/>
          <w:bottom w:val="nil"/>
          <w:right w:val="nil"/>
          <w:between w:val="nil"/>
        </w:pBdr>
        <w:spacing w:before="280" w:after="280" w:line="360" w:lineRule="auto"/>
        <w:jc w:val="both"/>
        <w:rPr>
          <w:rFonts w:ascii="Arial Nova Light" w:hAnsi="Arial Nova Light" w:cs="Arial"/>
          <w:b/>
          <w:bCs/>
          <w:sz w:val="24"/>
          <w:szCs w:val="24"/>
        </w:rPr>
      </w:pPr>
      <w:r w:rsidRPr="00126723">
        <w:rPr>
          <w:rFonts w:ascii="Arial Nova Light" w:eastAsia="Arial Nova" w:hAnsi="Arial Nova Light" w:cs="Arial Nova"/>
          <w:color w:val="000000"/>
          <w:sz w:val="24"/>
          <w:szCs w:val="24"/>
        </w:rPr>
        <w:t xml:space="preserve">Por tanto, </w:t>
      </w:r>
      <w:r w:rsidR="00C53CA3" w:rsidRPr="00126723">
        <w:rPr>
          <w:rFonts w:ascii="Arial Nova Light" w:eastAsia="Arial Nova" w:hAnsi="Arial Nova Light" w:cs="Arial Nova"/>
          <w:color w:val="000000"/>
          <w:sz w:val="24"/>
          <w:szCs w:val="24"/>
        </w:rPr>
        <w:t xml:space="preserve">este Tribunal en cuanto a los asuntos </w:t>
      </w:r>
      <w:r w:rsidR="00C53CA3" w:rsidRPr="00126723">
        <w:rPr>
          <w:rFonts w:ascii="Arial Nova Light" w:hAnsi="Arial Nova Light"/>
          <w:bCs/>
          <w:sz w:val="24"/>
          <w:szCs w:val="24"/>
        </w:rPr>
        <w:t xml:space="preserve">TEEA-JDC-108/2021, TEEA-JDC-109/2021, y TEEA-JDC-110/2021, considera que no les asiste la razón, toda vez que correctamente </w:t>
      </w:r>
      <w:r w:rsidR="00286532" w:rsidRPr="00126723">
        <w:rPr>
          <w:rFonts w:ascii="Arial Nova Light" w:hAnsi="Arial Nova Light"/>
          <w:bCs/>
          <w:sz w:val="24"/>
          <w:szCs w:val="24"/>
        </w:rPr>
        <w:t>fueron determinadas por la autoridad responsable como extemporáneas las</w:t>
      </w:r>
      <w:r w:rsidR="00C53CA3" w:rsidRPr="00126723">
        <w:rPr>
          <w:rFonts w:ascii="Arial Nova Light" w:hAnsi="Arial Nova Light"/>
          <w:bCs/>
          <w:sz w:val="24"/>
          <w:szCs w:val="24"/>
        </w:rPr>
        <w:t xml:space="preserve"> pretensiones que dieron origen al acto que hoy se combate</w:t>
      </w:r>
      <w:r w:rsidR="00875C50" w:rsidRPr="00126723">
        <w:rPr>
          <w:rFonts w:ascii="Arial Nova Light" w:hAnsi="Arial Nova Light"/>
          <w:bCs/>
          <w:sz w:val="24"/>
          <w:szCs w:val="24"/>
        </w:rPr>
        <w:t>.</w:t>
      </w:r>
      <w:r w:rsidR="0009557C" w:rsidRPr="00126723">
        <w:rPr>
          <w:rFonts w:ascii="Arial Nova Light" w:hAnsi="Arial Nova Light"/>
          <w:bCs/>
          <w:sz w:val="24"/>
          <w:szCs w:val="24"/>
        </w:rPr>
        <w:t xml:space="preserve">  </w:t>
      </w:r>
    </w:p>
    <w:p w14:paraId="175855CA" w14:textId="71B6B078" w:rsidR="008C258E" w:rsidRPr="00126723" w:rsidRDefault="008C258E" w:rsidP="0023123F">
      <w:pPr>
        <w:pStyle w:val="Estilo"/>
        <w:numPr>
          <w:ilvl w:val="0"/>
          <w:numId w:val="46"/>
        </w:numPr>
        <w:spacing w:line="360" w:lineRule="auto"/>
        <w:ind w:left="0" w:firstLine="0"/>
        <w:rPr>
          <w:rFonts w:ascii="Arial Nova Light" w:hAnsi="Arial Nova Light" w:cs="Arial"/>
          <w:b/>
          <w:bCs/>
          <w:szCs w:val="24"/>
        </w:rPr>
      </w:pPr>
      <w:r w:rsidRPr="00126723">
        <w:rPr>
          <w:rFonts w:ascii="Arial Nova Light" w:hAnsi="Arial Nova Light"/>
          <w:b/>
          <w:szCs w:val="24"/>
        </w:rPr>
        <w:t>EN CUANTO A LA VÍA PROCESAL</w:t>
      </w:r>
      <w:r w:rsidR="00875C50" w:rsidRPr="00126723">
        <w:rPr>
          <w:rFonts w:ascii="Arial Nova Light" w:hAnsi="Arial Nova Light"/>
          <w:b/>
          <w:szCs w:val="24"/>
        </w:rPr>
        <w:t xml:space="preserve">.  </w:t>
      </w:r>
      <w:r w:rsidR="001101C5" w:rsidRPr="00126723">
        <w:rPr>
          <w:rFonts w:ascii="Arial Nova Light" w:hAnsi="Arial Nova Light"/>
          <w:bCs/>
          <w:szCs w:val="24"/>
        </w:rPr>
        <w:t xml:space="preserve">Los promoventes de los juicios TEEA-JDC-105/2021, TEEA-JDC-106/2021 y TEEA-JDC-107/2021, se duelen de la </w:t>
      </w:r>
      <w:r w:rsidR="00B20503">
        <w:rPr>
          <w:rFonts w:ascii="Arial Nova Light" w:hAnsi="Arial Nova Light"/>
          <w:bCs/>
          <w:szCs w:val="24"/>
        </w:rPr>
        <w:t>f</w:t>
      </w:r>
      <w:r w:rsidR="001101C5" w:rsidRPr="00126723">
        <w:rPr>
          <w:rFonts w:ascii="Arial Nova Light" w:hAnsi="Arial Nova Light"/>
          <w:bCs/>
          <w:szCs w:val="24"/>
        </w:rPr>
        <w:t>alta de certeza jurídica, al considerar que erróneamente la CNHJ pretende darle tramitación como si se tratase de un Procedimiento Especial Sancionador, cuando la naturaleza del mismo es un juicio para la protección de los derechos político-electorales del ciudadano.</w:t>
      </w:r>
    </w:p>
    <w:p w14:paraId="1B25208E" w14:textId="7A5EB116" w:rsidR="001101C5" w:rsidRPr="00126723" w:rsidRDefault="001101C5" w:rsidP="001101C5">
      <w:pPr>
        <w:pStyle w:val="Estilo"/>
        <w:spacing w:line="360" w:lineRule="auto"/>
        <w:rPr>
          <w:rFonts w:ascii="Arial Nova Light" w:hAnsi="Arial Nova Light"/>
          <w:b/>
          <w:szCs w:val="24"/>
        </w:rPr>
      </w:pPr>
    </w:p>
    <w:p w14:paraId="1DBCA077" w14:textId="69731A02" w:rsidR="001101C5" w:rsidRPr="00126723" w:rsidRDefault="00807F16" w:rsidP="001101C5">
      <w:pPr>
        <w:pStyle w:val="Estilo"/>
        <w:spacing w:line="360" w:lineRule="auto"/>
        <w:rPr>
          <w:rFonts w:ascii="Arial Nova Light" w:hAnsi="Arial Nova Light"/>
          <w:bCs/>
          <w:szCs w:val="24"/>
        </w:rPr>
      </w:pPr>
      <w:r w:rsidRPr="00126723">
        <w:rPr>
          <w:rFonts w:ascii="Arial Nova Light" w:hAnsi="Arial Nova Light"/>
          <w:bCs/>
          <w:szCs w:val="24"/>
        </w:rPr>
        <w:t xml:space="preserve">Al respecto, este Tribunal considera infundado el planteamiento de los promoventes, por las siguientes consideraciones: </w:t>
      </w:r>
    </w:p>
    <w:p w14:paraId="7FB9A6F3" w14:textId="58C3651A" w:rsidR="00807F16" w:rsidRPr="00126723" w:rsidRDefault="00807F16" w:rsidP="001101C5">
      <w:pPr>
        <w:pStyle w:val="Estilo"/>
        <w:spacing w:line="360" w:lineRule="auto"/>
        <w:rPr>
          <w:rFonts w:ascii="Arial Nova Light" w:hAnsi="Arial Nova Light"/>
          <w:bCs/>
          <w:szCs w:val="24"/>
        </w:rPr>
      </w:pPr>
    </w:p>
    <w:p w14:paraId="5B0A8EB5" w14:textId="2D576955" w:rsidR="00807F16" w:rsidRPr="00126723" w:rsidRDefault="00112FC2" w:rsidP="001101C5">
      <w:pPr>
        <w:pStyle w:val="Estilo"/>
        <w:spacing w:line="360" w:lineRule="auto"/>
        <w:rPr>
          <w:rFonts w:ascii="Arial Nova Light" w:hAnsi="Arial Nova Light"/>
          <w:bCs/>
          <w:szCs w:val="24"/>
        </w:rPr>
      </w:pPr>
      <w:r w:rsidRPr="00126723">
        <w:rPr>
          <w:rFonts w:ascii="Arial Nova Light" w:hAnsi="Arial Nova Light"/>
          <w:bCs/>
          <w:szCs w:val="24"/>
        </w:rPr>
        <w:t>El artículo 38 del Reglamento de la CNHJ, establece lo siguiente:</w:t>
      </w:r>
    </w:p>
    <w:p w14:paraId="0D70AA0A" w14:textId="3637F20A" w:rsidR="00112FC2" w:rsidRPr="00126723" w:rsidRDefault="00112FC2" w:rsidP="001101C5">
      <w:pPr>
        <w:pStyle w:val="Estilo"/>
        <w:spacing w:line="360" w:lineRule="auto"/>
        <w:rPr>
          <w:rFonts w:ascii="Arial Nova Light" w:hAnsi="Arial Nova Light"/>
          <w:bCs/>
          <w:szCs w:val="24"/>
        </w:rPr>
      </w:pPr>
    </w:p>
    <w:p w14:paraId="1B4D2A26" w14:textId="1FA778C5" w:rsidR="00112FC2" w:rsidRPr="00E50B28" w:rsidRDefault="00E50B28" w:rsidP="00566D05">
      <w:pPr>
        <w:pStyle w:val="Estilo"/>
        <w:spacing w:line="360" w:lineRule="auto"/>
        <w:ind w:left="1134" w:right="1134"/>
        <w:rPr>
          <w:rFonts w:ascii="Arial Nova Light" w:hAnsi="Arial Nova Light"/>
          <w:i/>
          <w:iCs/>
          <w:sz w:val="20"/>
          <w:szCs w:val="20"/>
        </w:rPr>
      </w:pPr>
      <w:r>
        <w:rPr>
          <w:rFonts w:ascii="Arial Nova Light" w:hAnsi="Arial Nova Light"/>
          <w:i/>
          <w:iCs/>
          <w:sz w:val="20"/>
          <w:szCs w:val="20"/>
        </w:rPr>
        <w:lastRenderedPageBreak/>
        <w:t>“</w:t>
      </w:r>
      <w:r w:rsidR="00112FC2" w:rsidRPr="00E50B28">
        <w:rPr>
          <w:rFonts w:ascii="Arial Nova Light" w:hAnsi="Arial Nova Light"/>
          <w:i/>
          <w:iCs/>
          <w:sz w:val="20"/>
          <w:szCs w:val="20"/>
        </w:rPr>
        <w:t xml:space="preserve">Artículo 38. </w:t>
      </w:r>
      <w:r w:rsidR="00112FC2" w:rsidRPr="00E50B28">
        <w:rPr>
          <w:rFonts w:ascii="Arial Nova Light" w:hAnsi="Arial Nova Light"/>
          <w:b/>
          <w:bCs/>
          <w:i/>
          <w:iCs/>
          <w:sz w:val="20"/>
          <w:szCs w:val="20"/>
        </w:rPr>
        <w:t>El Procedimiento Sancionador Electoral</w:t>
      </w:r>
      <w:r w:rsidR="00112FC2" w:rsidRPr="00E50B28">
        <w:rPr>
          <w:rFonts w:ascii="Arial Nova Light" w:hAnsi="Arial Nova Light"/>
          <w:i/>
          <w:iCs/>
          <w:sz w:val="20"/>
          <w:szCs w:val="20"/>
        </w:rPr>
        <w:t xml:space="preserve"> podrá ser promovido por cualquier Protagonista de Cambio Verdadero u órgano de MORENA, en contra de actos u omisiones de las y los sujetos señalados en el Artículo 1º del presente Reglamento, por presuntas faltas a la debida función electoral, derechos fundamentales y principios democráticos, durante los procesos electorales internos de MORENA y/o Constitucionales</w:t>
      </w:r>
      <w:r>
        <w:rPr>
          <w:rFonts w:ascii="Arial Nova Light" w:hAnsi="Arial Nova Light"/>
          <w:i/>
          <w:iCs/>
          <w:sz w:val="20"/>
          <w:szCs w:val="20"/>
        </w:rPr>
        <w:t>.”</w:t>
      </w:r>
    </w:p>
    <w:p w14:paraId="6190D6B0" w14:textId="5BF86F76" w:rsidR="00667FB1" w:rsidRPr="00126723" w:rsidRDefault="00566D05" w:rsidP="00667FB1">
      <w:pPr>
        <w:pStyle w:val="Estilo"/>
        <w:spacing w:line="360" w:lineRule="auto"/>
        <w:rPr>
          <w:rFonts w:ascii="Arial Nova Light" w:hAnsi="Arial Nova Light"/>
          <w:szCs w:val="24"/>
        </w:rPr>
      </w:pPr>
      <w:r w:rsidRPr="00126723">
        <w:rPr>
          <w:rFonts w:ascii="Arial Nova Light" w:hAnsi="Arial Nova Light"/>
          <w:szCs w:val="24"/>
        </w:rPr>
        <w:t xml:space="preserve">De ahí, es posible concluir que los promoventes parten de un error, toda vez que interpretan que la CNHJ </w:t>
      </w:r>
      <w:r w:rsidR="00F65C0C" w:rsidRPr="00126723">
        <w:rPr>
          <w:rFonts w:ascii="Arial Nova Light" w:hAnsi="Arial Nova Light"/>
          <w:szCs w:val="24"/>
        </w:rPr>
        <w:t>d</w:t>
      </w:r>
      <w:r w:rsidR="00F65C0C">
        <w:rPr>
          <w:rFonts w:ascii="Arial Nova Light" w:hAnsi="Arial Nova Light"/>
          <w:szCs w:val="24"/>
        </w:rPr>
        <w:t>io</w:t>
      </w:r>
      <w:r w:rsidRPr="00126723">
        <w:rPr>
          <w:rFonts w:ascii="Arial Nova Light" w:hAnsi="Arial Nova Light"/>
          <w:szCs w:val="24"/>
        </w:rPr>
        <w:t xml:space="preserve"> tramite como Procedimiento Especial Sancionador, siendo que la realidad es que conoce su asunto como PROCEDIMIENTO SANCIONADOR ELECTORAL, es decir, como el</w:t>
      </w:r>
      <w:r w:rsidR="00E87859" w:rsidRPr="00126723">
        <w:rPr>
          <w:rFonts w:ascii="Arial Nova Light" w:hAnsi="Arial Nova Light"/>
          <w:szCs w:val="24"/>
        </w:rPr>
        <w:t xml:space="preserve"> medio idóneo previsto en su normativa partidista.</w:t>
      </w:r>
    </w:p>
    <w:p w14:paraId="00F1D84D" w14:textId="77777777" w:rsidR="00667FB1" w:rsidRPr="00126723" w:rsidRDefault="00667FB1" w:rsidP="00667FB1">
      <w:pPr>
        <w:pStyle w:val="Estilo"/>
        <w:spacing w:line="360" w:lineRule="auto"/>
        <w:rPr>
          <w:rFonts w:ascii="Arial Nova Light" w:hAnsi="Arial Nova Light"/>
          <w:szCs w:val="24"/>
        </w:rPr>
      </w:pPr>
    </w:p>
    <w:p w14:paraId="07937C40" w14:textId="77777777" w:rsidR="00DD7EAA" w:rsidRPr="00126723" w:rsidRDefault="00667FB1" w:rsidP="00667FB1">
      <w:pPr>
        <w:pStyle w:val="Estilo"/>
        <w:spacing w:line="360" w:lineRule="auto"/>
        <w:rPr>
          <w:rFonts w:ascii="Arial Nova Light" w:hAnsi="Arial Nova Light"/>
          <w:szCs w:val="24"/>
        </w:rPr>
      </w:pPr>
      <w:r w:rsidRPr="00126723">
        <w:rPr>
          <w:rFonts w:ascii="Arial Nova Light" w:hAnsi="Arial Nova Light"/>
          <w:szCs w:val="24"/>
        </w:rPr>
        <w:t xml:space="preserve">Así, derivado de la naturaleza del caso </w:t>
      </w:r>
      <w:r w:rsidR="00DD7EAA" w:rsidRPr="00126723">
        <w:rPr>
          <w:rFonts w:ascii="Arial Nova Light" w:hAnsi="Arial Nova Light"/>
          <w:szCs w:val="24"/>
        </w:rPr>
        <w:t xml:space="preserve">en aras de salvaguardar la certeza del proceso, garantizar el acceso a la justicia partidista y maximizando los derechos de los promoventes, la CNHJ conoció el asunto sometido a su jurisdicción bajo el recurso previsto en su propio reglamento. </w:t>
      </w:r>
    </w:p>
    <w:p w14:paraId="1B3F879D" w14:textId="77777777" w:rsidR="00DD7EAA" w:rsidRPr="00126723" w:rsidRDefault="00DD7EAA" w:rsidP="00667FB1">
      <w:pPr>
        <w:pStyle w:val="Estilo"/>
        <w:spacing w:line="360" w:lineRule="auto"/>
        <w:rPr>
          <w:rFonts w:ascii="Arial Nova Light" w:hAnsi="Arial Nova Light"/>
          <w:szCs w:val="24"/>
        </w:rPr>
      </w:pPr>
    </w:p>
    <w:p w14:paraId="6ACBF60D" w14:textId="77777777" w:rsidR="00493FD4" w:rsidRPr="00126723" w:rsidRDefault="00DD7EAA" w:rsidP="00667FB1">
      <w:pPr>
        <w:pStyle w:val="Estilo"/>
        <w:spacing w:line="360" w:lineRule="auto"/>
        <w:rPr>
          <w:rFonts w:ascii="Arial Nova Light" w:hAnsi="Arial Nova Light"/>
          <w:szCs w:val="24"/>
        </w:rPr>
      </w:pPr>
      <w:r w:rsidRPr="00126723">
        <w:rPr>
          <w:rFonts w:ascii="Arial Nova Light" w:hAnsi="Arial Nova Light"/>
          <w:szCs w:val="24"/>
        </w:rPr>
        <w:t xml:space="preserve">Por tanto, </w:t>
      </w:r>
      <w:r w:rsidR="00493FD4" w:rsidRPr="00126723">
        <w:rPr>
          <w:rFonts w:ascii="Arial Nova Light" w:hAnsi="Arial Nova Light"/>
          <w:szCs w:val="24"/>
        </w:rPr>
        <w:t xml:space="preserve">este Tribunal considera </w:t>
      </w:r>
      <w:r w:rsidR="00493FD4" w:rsidRPr="00126723">
        <w:rPr>
          <w:rFonts w:ascii="Arial Nova Light" w:hAnsi="Arial Nova Light"/>
          <w:b/>
          <w:bCs/>
          <w:szCs w:val="24"/>
        </w:rPr>
        <w:t>infundado</w:t>
      </w:r>
      <w:r w:rsidR="00493FD4" w:rsidRPr="00126723">
        <w:rPr>
          <w:rFonts w:ascii="Arial Nova Light" w:hAnsi="Arial Nova Light"/>
          <w:szCs w:val="24"/>
        </w:rPr>
        <w:t xml:space="preserve"> el agravio pretendido relativo a la vía por la que conoció el medio de impugnación la CNHJ. </w:t>
      </w:r>
    </w:p>
    <w:p w14:paraId="022ECEE2" w14:textId="77777777" w:rsidR="00807F16" w:rsidRPr="00126723" w:rsidRDefault="00807F16" w:rsidP="001101C5">
      <w:pPr>
        <w:pStyle w:val="Estilo"/>
        <w:spacing w:line="360" w:lineRule="auto"/>
        <w:rPr>
          <w:rFonts w:ascii="Arial Nova Light" w:hAnsi="Arial Nova Light" w:cs="Arial"/>
          <w:bCs/>
          <w:szCs w:val="24"/>
        </w:rPr>
      </w:pPr>
    </w:p>
    <w:p w14:paraId="24917F36" w14:textId="66562C8D" w:rsidR="00212C71" w:rsidRPr="00126723" w:rsidRDefault="008C258E" w:rsidP="0023123F">
      <w:pPr>
        <w:pStyle w:val="Estilo"/>
        <w:numPr>
          <w:ilvl w:val="0"/>
          <w:numId w:val="46"/>
        </w:numPr>
        <w:spacing w:line="360" w:lineRule="auto"/>
        <w:ind w:left="0" w:firstLine="0"/>
        <w:rPr>
          <w:rFonts w:ascii="Arial Nova Light" w:hAnsi="Arial Nova Light"/>
          <w:bCs/>
          <w:szCs w:val="24"/>
        </w:rPr>
      </w:pPr>
      <w:r w:rsidRPr="00126723">
        <w:rPr>
          <w:rFonts w:ascii="Arial Nova Light" w:hAnsi="Arial Nova Light"/>
          <w:b/>
          <w:szCs w:val="24"/>
        </w:rPr>
        <w:t xml:space="preserve">EN CUANTO A </w:t>
      </w:r>
      <w:r w:rsidR="00497D2F" w:rsidRPr="00126723">
        <w:rPr>
          <w:rFonts w:ascii="Arial Nova Light" w:hAnsi="Arial Nova Light"/>
          <w:b/>
          <w:szCs w:val="24"/>
        </w:rPr>
        <w:t>LA FUNDAMENTACIÓN Y MOTIVACIÓN</w:t>
      </w:r>
      <w:r w:rsidR="00493FD4" w:rsidRPr="00126723">
        <w:rPr>
          <w:rFonts w:ascii="Arial Nova Light" w:hAnsi="Arial Nova Light"/>
          <w:b/>
          <w:szCs w:val="24"/>
        </w:rPr>
        <w:t xml:space="preserve">. </w:t>
      </w:r>
      <w:r w:rsidR="00212C71" w:rsidRPr="00126723">
        <w:rPr>
          <w:rFonts w:ascii="Arial Nova Light" w:hAnsi="Arial Nova Light"/>
          <w:b/>
          <w:szCs w:val="24"/>
        </w:rPr>
        <w:t xml:space="preserve"> </w:t>
      </w:r>
      <w:r w:rsidR="00212C71" w:rsidRPr="00126723">
        <w:rPr>
          <w:rFonts w:ascii="Arial Nova Light" w:hAnsi="Arial Nova Light"/>
          <w:bCs/>
          <w:szCs w:val="24"/>
        </w:rPr>
        <w:t xml:space="preserve">Las y los promoventes se duelen de una presunta indebida fundamentación y motivación del acuerdo de improcedencia dictado por la CNHJ, </w:t>
      </w:r>
      <w:r w:rsidR="00E90E6B">
        <w:rPr>
          <w:rFonts w:ascii="Arial Nova Light" w:hAnsi="Arial Nova Light"/>
          <w:bCs/>
          <w:szCs w:val="24"/>
        </w:rPr>
        <w:t xml:space="preserve">en la que determinó que las pretensiones exigidas habían precluido, </w:t>
      </w:r>
      <w:r w:rsidR="00212C71" w:rsidRPr="00126723">
        <w:rPr>
          <w:rFonts w:ascii="Arial Nova Light" w:hAnsi="Arial Nova Light"/>
          <w:bCs/>
          <w:szCs w:val="24"/>
        </w:rPr>
        <w:t xml:space="preserve">pues a su juicio, de manera arbitraria señaló que el acto impugnado fue la convocatoria a los procesos internos de selección, cuando en realidad </w:t>
      </w:r>
      <w:r w:rsidR="00A80377" w:rsidRPr="00126723">
        <w:rPr>
          <w:rFonts w:ascii="Arial Nova Light" w:hAnsi="Arial Nova Light"/>
          <w:bCs/>
          <w:szCs w:val="24"/>
        </w:rPr>
        <w:t>i</w:t>
      </w:r>
      <w:r w:rsidR="00212C71" w:rsidRPr="00126723">
        <w:rPr>
          <w:rFonts w:ascii="Arial Nova Light" w:hAnsi="Arial Nova Light"/>
          <w:bCs/>
          <w:szCs w:val="24"/>
        </w:rPr>
        <w:t>mpugn</w:t>
      </w:r>
      <w:r w:rsidR="00A80377" w:rsidRPr="00126723">
        <w:rPr>
          <w:rFonts w:ascii="Arial Nova Light" w:hAnsi="Arial Nova Light"/>
          <w:bCs/>
          <w:szCs w:val="24"/>
        </w:rPr>
        <w:t>aron</w:t>
      </w:r>
      <w:r w:rsidR="00212C71" w:rsidRPr="00126723">
        <w:rPr>
          <w:rFonts w:ascii="Arial Nova Light" w:hAnsi="Arial Nova Light"/>
          <w:bCs/>
          <w:szCs w:val="24"/>
        </w:rPr>
        <w:t xml:space="preserve"> actos diferentes de la CNE y del IEE.   Así, </w:t>
      </w:r>
      <w:r w:rsidR="00A80377" w:rsidRPr="00126723">
        <w:rPr>
          <w:rFonts w:ascii="Arial Nova Light" w:hAnsi="Arial Nova Light"/>
          <w:bCs/>
          <w:szCs w:val="24"/>
        </w:rPr>
        <w:t>los</w:t>
      </w:r>
      <w:r w:rsidR="00212C71" w:rsidRPr="00126723">
        <w:rPr>
          <w:rFonts w:ascii="Arial Nova Light" w:hAnsi="Arial Nova Light"/>
          <w:bCs/>
          <w:szCs w:val="24"/>
        </w:rPr>
        <w:t xml:space="preserve"> promovente</w:t>
      </w:r>
      <w:r w:rsidR="00A80377" w:rsidRPr="00126723">
        <w:rPr>
          <w:rFonts w:ascii="Arial Nova Light" w:hAnsi="Arial Nova Light"/>
          <w:bCs/>
          <w:szCs w:val="24"/>
        </w:rPr>
        <w:t>s</w:t>
      </w:r>
      <w:r w:rsidR="00212C71" w:rsidRPr="00126723">
        <w:rPr>
          <w:rFonts w:ascii="Arial Nova Light" w:hAnsi="Arial Nova Light"/>
          <w:bCs/>
          <w:szCs w:val="24"/>
        </w:rPr>
        <w:t xml:space="preserve"> considera</w:t>
      </w:r>
      <w:r w:rsidR="00A80377" w:rsidRPr="00126723">
        <w:rPr>
          <w:rFonts w:ascii="Arial Nova Light" w:hAnsi="Arial Nova Light"/>
          <w:bCs/>
          <w:szCs w:val="24"/>
        </w:rPr>
        <w:t>n</w:t>
      </w:r>
      <w:r w:rsidR="00212C71" w:rsidRPr="00126723">
        <w:rPr>
          <w:rFonts w:ascii="Arial Nova Light" w:hAnsi="Arial Nova Light"/>
          <w:bCs/>
          <w:szCs w:val="24"/>
        </w:rPr>
        <w:t xml:space="preserve"> que la responsable dilata el proceso para no entrar al estudio de fondo del asunto. </w:t>
      </w:r>
    </w:p>
    <w:p w14:paraId="6E2C6D6F" w14:textId="77777777" w:rsidR="00212C71" w:rsidRPr="00126723" w:rsidRDefault="00212C71" w:rsidP="00212C71">
      <w:pPr>
        <w:pStyle w:val="Estilo"/>
        <w:spacing w:line="360" w:lineRule="auto"/>
        <w:rPr>
          <w:rFonts w:ascii="Arial Nova Light" w:hAnsi="Arial Nova Light"/>
          <w:b/>
          <w:szCs w:val="24"/>
        </w:rPr>
      </w:pPr>
    </w:p>
    <w:p w14:paraId="168429BB" w14:textId="7A3765B3" w:rsidR="008C258E" w:rsidRPr="00126723" w:rsidRDefault="00212C71" w:rsidP="00212C71">
      <w:pPr>
        <w:pStyle w:val="Estilo"/>
        <w:spacing w:line="360" w:lineRule="auto"/>
        <w:rPr>
          <w:rFonts w:ascii="Arial Nova Light" w:hAnsi="Arial Nova Light"/>
          <w:bCs/>
          <w:szCs w:val="24"/>
        </w:rPr>
      </w:pPr>
      <w:r w:rsidRPr="00126723">
        <w:rPr>
          <w:rFonts w:ascii="Arial Nova Light" w:hAnsi="Arial Nova Light"/>
          <w:bCs/>
          <w:szCs w:val="24"/>
        </w:rPr>
        <w:t xml:space="preserve">Advierten que la CNHJ no se ha pronunciado respecto </w:t>
      </w:r>
      <w:r w:rsidR="00A80377" w:rsidRPr="00126723">
        <w:rPr>
          <w:rFonts w:ascii="Arial Nova Light" w:hAnsi="Arial Nova Light"/>
          <w:bCs/>
          <w:szCs w:val="24"/>
        </w:rPr>
        <w:t>a</w:t>
      </w:r>
      <w:r w:rsidRPr="00126723">
        <w:rPr>
          <w:rFonts w:ascii="Arial Nova Light" w:hAnsi="Arial Nova Light"/>
          <w:bCs/>
          <w:szCs w:val="24"/>
        </w:rPr>
        <w:t xml:space="preserve"> la “RELACIÓN DE SOLICITUDES DE REGISTRO APROBADAS EN LOS PROCESOS INTERNOS PARA LA SELECCIÓN DE CANDIDATURAS PARA: PRESIDENCIAS MUNICIPALES, DIPUTACIONES POR EL PRINCIPIO DE MAYORÍA RELATIVA, SINDICATURAS Y REGIDURÍAS EN EL ESTADO DE AGUASCALIENTES PARA EL PROCESO ELECTORAL 2020-2021”.</w:t>
      </w:r>
    </w:p>
    <w:p w14:paraId="3A45850E" w14:textId="180E3BD6" w:rsidR="00B05E5A" w:rsidRPr="00126723" w:rsidRDefault="00B05E5A" w:rsidP="00212C71">
      <w:pPr>
        <w:pStyle w:val="Estilo"/>
        <w:spacing w:line="360" w:lineRule="auto"/>
        <w:rPr>
          <w:rFonts w:ascii="Arial Nova Light" w:hAnsi="Arial Nova Light"/>
          <w:bCs/>
          <w:szCs w:val="24"/>
        </w:rPr>
      </w:pPr>
    </w:p>
    <w:p w14:paraId="751A3ABC" w14:textId="1B6F9516" w:rsidR="00B05E5A" w:rsidRPr="00126723" w:rsidRDefault="00B05E5A" w:rsidP="00212C71">
      <w:pPr>
        <w:pStyle w:val="Estilo"/>
        <w:spacing w:line="360" w:lineRule="auto"/>
        <w:rPr>
          <w:rFonts w:ascii="Arial Nova Light" w:hAnsi="Arial Nova Light"/>
          <w:bCs/>
          <w:szCs w:val="24"/>
        </w:rPr>
      </w:pPr>
      <w:r w:rsidRPr="00126723">
        <w:rPr>
          <w:rFonts w:ascii="Arial Nova Light" w:hAnsi="Arial Nova Light"/>
          <w:bCs/>
          <w:szCs w:val="24"/>
        </w:rPr>
        <w:t xml:space="preserve">En tal sentido, </w:t>
      </w:r>
      <w:r w:rsidR="0067417C" w:rsidRPr="00126723">
        <w:rPr>
          <w:rFonts w:ascii="Arial Nova Light" w:hAnsi="Arial Nova Light"/>
          <w:bCs/>
          <w:szCs w:val="24"/>
        </w:rPr>
        <w:t xml:space="preserve">este Tribunal considera que los agravios son </w:t>
      </w:r>
      <w:r w:rsidR="0067417C" w:rsidRPr="00126723">
        <w:rPr>
          <w:rFonts w:ascii="Arial Nova Light" w:hAnsi="Arial Nova Light"/>
          <w:b/>
          <w:szCs w:val="24"/>
        </w:rPr>
        <w:t>infundados</w:t>
      </w:r>
      <w:r w:rsidR="006B40B7">
        <w:rPr>
          <w:rFonts w:ascii="Arial Nova Light" w:hAnsi="Arial Nova Light"/>
          <w:b/>
          <w:szCs w:val="24"/>
        </w:rPr>
        <w:t>,</w:t>
      </w:r>
      <w:r w:rsidR="0067417C" w:rsidRPr="00126723">
        <w:rPr>
          <w:rFonts w:ascii="Arial Nova Light" w:hAnsi="Arial Nova Light"/>
          <w:b/>
          <w:szCs w:val="24"/>
        </w:rPr>
        <w:t xml:space="preserve"> </w:t>
      </w:r>
      <w:r w:rsidR="0067417C" w:rsidRPr="00126723">
        <w:rPr>
          <w:rFonts w:ascii="Arial Nova Light" w:hAnsi="Arial Nova Light"/>
          <w:bCs/>
          <w:szCs w:val="24"/>
        </w:rPr>
        <w:t>por las siguientes consideraciones</w:t>
      </w:r>
      <w:r w:rsidR="008070E5">
        <w:rPr>
          <w:rFonts w:ascii="Arial Nova Light" w:hAnsi="Arial Nova Light"/>
          <w:bCs/>
          <w:szCs w:val="24"/>
        </w:rPr>
        <w:t>:</w:t>
      </w:r>
    </w:p>
    <w:p w14:paraId="46B9DF85" w14:textId="63C0D246" w:rsidR="0067417C" w:rsidRPr="00126723" w:rsidRDefault="0067417C" w:rsidP="00212C71">
      <w:pPr>
        <w:pStyle w:val="Estilo"/>
        <w:spacing w:line="360" w:lineRule="auto"/>
        <w:rPr>
          <w:rFonts w:ascii="Arial Nova Light" w:hAnsi="Arial Nova Light"/>
          <w:bCs/>
          <w:szCs w:val="24"/>
        </w:rPr>
      </w:pPr>
    </w:p>
    <w:p w14:paraId="490E7F12" w14:textId="7205D715" w:rsidR="00501096" w:rsidRDefault="0080065A" w:rsidP="00212C71">
      <w:pPr>
        <w:pStyle w:val="Estilo"/>
        <w:spacing w:line="360" w:lineRule="auto"/>
        <w:rPr>
          <w:rFonts w:cs="Arial"/>
          <w:sz w:val="23"/>
          <w:szCs w:val="23"/>
        </w:rPr>
      </w:pPr>
      <w:r>
        <w:rPr>
          <w:rFonts w:ascii="Arial Nova Light" w:hAnsi="Arial Nova Light"/>
          <w:bCs/>
          <w:szCs w:val="24"/>
        </w:rPr>
        <w:t xml:space="preserve">Si bien es cierto, la CNHJ señala que en realidad el acto del que se duelen los promoventes es la convocatoria, las bases y el proceso de selección, lo cierto es que, el </w:t>
      </w:r>
      <w:r w:rsidR="00245261">
        <w:rPr>
          <w:rFonts w:ascii="Arial Nova Light" w:hAnsi="Arial Nova Light"/>
          <w:bCs/>
          <w:szCs w:val="24"/>
        </w:rPr>
        <w:t>listado de candidaturas aprobadas</w:t>
      </w:r>
      <w:r>
        <w:rPr>
          <w:rFonts w:ascii="Arial Nova Light" w:hAnsi="Arial Nova Light"/>
          <w:bCs/>
          <w:szCs w:val="24"/>
        </w:rPr>
        <w:t xml:space="preserve"> por la Comisión Nacional de </w:t>
      </w:r>
      <w:r w:rsidRPr="008D2DD0">
        <w:rPr>
          <w:rFonts w:ascii="Arial Nova Light" w:hAnsi="Arial Nova Light"/>
          <w:bCs/>
          <w:szCs w:val="24"/>
        </w:rPr>
        <w:t xml:space="preserve">Elecciones </w:t>
      </w:r>
      <w:r w:rsidR="00245261">
        <w:rPr>
          <w:rFonts w:ascii="Arial Nova Light" w:hAnsi="Arial Nova Light"/>
          <w:bCs/>
          <w:szCs w:val="24"/>
        </w:rPr>
        <w:t>que fue</w:t>
      </w:r>
      <w:r w:rsidRPr="008D2DD0">
        <w:rPr>
          <w:rFonts w:ascii="Arial Nova Light" w:hAnsi="Arial Nova Light"/>
          <w:bCs/>
          <w:szCs w:val="24"/>
        </w:rPr>
        <w:t xml:space="preserve"> </w:t>
      </w:r>
      <w:r w:rsidR="008D2DD0">
        <w:rPr>
          <w:rFonts w:ascii="Arial Nova Light" w:hAnsi="Arial Nova Light"/>
          <w:bCs/>
          <w:szCs w:val="24"/>
        </w:rPr>
        <w:t>dictad</w:t>
      </w:r>
      <w:r w:rsidR="00245261">
        <w:rPr>
          <w:rFonts w:ascii="Arial Nova Light" w:hAnsi="Arial Nova Light"/>
          <w:bCs/>
          <w:szCs w:val="24"/>
        </w:rPr>
        <w:t>a</w:t>
      </w:r>
      <w:r w:rsidRPr="008D2DD0">
        <w:rPr>
          <w:rFonts w:ascii="Arial Nova Light" w:hAnsi="Arial Nova Light"/>
          <w:bCs/>
          <w:szCs w:val="24"/>
        </w:rPr>
        <w:t xml:space="preserve"> el día veinte de marzo, tal </w:t>
      </w:r>
      <w:r w:rsidRPr="008D2DD0">
        <w:rPr>
          <w:rFonts w:ascii="Arial Nova Light" w:hAnsi="Arial Nova Light"/>
          <w:bCs/>
          <w:szCs w:val="24"/>
        </w:rPr>
        <w:lastRenderedPageBreak/>
        <w:t xml:space="preserve">como se hace constar en el expediente TEEA-JDC-104/2021, en el que se </w:t>
      </w:r>
      <w:r w:rsidR="00501096" w:rsidRPr="008D2DD0">
        <w:rPr>
          <w:rFonts w:ascii="Arial Nova Light" w:hAnsi="Arial Nova Light"/>
          <w:bCs/>
          <w:szCs w:val="24"/>
        </w:rPr>
        <w:t>razona que se “</w:t>
      </w:r>
      <w:r w:rsidR="00501096" w:rsidRPr="008D2DD0">
        <w:rPr>
          <w:rFonts w:ascii="Arial Nova Light" w:hAnsi="Arial Nova Light" w:cs="Arial"/>
          <w:i/>
          <w:iCs/>
          <w:sz w:val="23"/>
          <w:szCs w:val="23"/>
        </w:rPr>
        <w:t xml:space="preserve">pospuso el plazo para que la CNE diera a conocer los registros aprobados, del 15 de marzo hasta el 20 del mismo mes”, </w:t>
      </w:r>
      <w:r w:rsidR="00501096" w:rsidRPr="008D2DD0">
        <w:rPr>
          <w:rFonts w:ascii="Arial Nova Light" w:hAnsi="Arial Nova Light" w:cs="Arial"/>
          <w:sz w:val="23"/>
          <w:szCs w:val="23"/>
        </w:rPr>
        <w:t xml:space="preserve"> lo que significa que es en esa fecha, el momento oportuno para controvertir la determinación de candidaturas del partido político MORENA.</w:t>
      </w:r>
      <w:r w:rsidR="00501096">
        <w:rPr>
          <w:rFonts w:cs="Arial"/>
          <w:sz w:val="23"/>
          <w:szCs w:val="23"/>
        </w:rPr>
        <w:t xml:space="preserve"> </w:t>
      </w:r>
    </w:p>
    <w:p w14:paraId="774FA2EA" w14:textId="77DEC1C2" w:rsidR="0067417C" w:rsidRPr="00126723" w:rsidRDefault="00501096" w:rsidP="00212C71">
      <w:pPr>
        <w:pStyle w:val="Estilo"/>
        <w:spacing w:line="360" w:lineRule="auto"/>
        <w:rPr>
          <w:rFonts w:ascii="Arial Nova Light" w:hAnsi="Arial Nova Light"/>
          <w:bCs/>
          <w:szCs w:val="24"/>
        </w:rPr>
      </w:pPr>
      <w:r>
        <w:rPr>
          <w:rFonts w:ascii="Arial Nova Light" w:hAnsi="Arial Nova Light"/>
          <w:bCs/>
          <w:szCs w:val="24"/>
        </w:rPr>
        <w:t>De tal suerte que c</w:t>
      </w:r>
      <w:r w:rsidR="00902F8A" w:rsidRPr="00126723">
        <w:rPr>
          <w:rFonts w:ascii="Arial Nova Light" w:hAnsi="Arial Nova Light"/>
          <w:bCs/>
          <w:szCs w:val="24"/>
        </w:rPr>
        <w:t>omo se ha señala</w:t>
      </w:r>
      <w:r w:rsidR="008070E5">
        <w:rPr>
          <w:rFonts w:ascii="Arial Nova Light" w:hAnsi="Arial Nova Light"/>
          <w:bCs/>
          <w:szCs w:val="24"/>
        </w:rPr>
        <w:t>do</w:t>
      </w:r>
      <w:r w:rsidR="00902F8A" w:rsidRPr="00126723">
        <w:rPr>
          <w:rFonts w:ascii="Arial Nova Light" w:hAnsi="Arial Nova Light"/>
          <w:bCs/>
          <w:szCs w:val="24"/>
        </w:rPr>
        <w:t xml:space="preserve"> en el marco normativo, las autoridades, incluidas las partidistas están obligadas a fundar y motivar debidamente los actos que emitan, que expresen razones de </w:t>
      </w:r>
      <w:r w:rsidR="003C0695" w:rsidRPr="00126723">
        <w:rPr>
          <w:rFonts w:ascii="Arial Nova Light" w:hAnsi="Arial Nova Light"/>
          <w:bCs/>
          <w:szCs w:val="24"/>
        </w:rPr>
        <w:t>derecho</w:t>
      </w:r>
      <w:r w:rsidR="00902F8A" w:rsidRPr="00126723">
        <w:rPr>
          <w:rFonts w:ascii="Arial Nova Light" w:hAnsi="Arial Nova Light"/>
          <w:bCs/>
          <w:szCs w:val="24"/>
        </w:rPr>
        <w:t xml:space="preserve"> y los motivos de hecho considerados para su dictado. </w:t>
      </w:r>
    </w:p>
    <w:p w14:paraId="17BA5BC2" w14:textId="635ED0C1" w:rsidR="003C0695" w:rsidRPr="00126723" w:rsidRDefault="003C0695" w:rsidP="00212C71">
      <w:pPr>
        <w:pStyle w:val="Estilo"/>
        <w:spacing w:line="360" w:lineRule="auto"/>
        <w:rPr>
          <w:rFonts w:ascii="Arial Nova Light" w:hAnsi="Arial Nova Light"/>
          <w:bCs/>
          <w:szCs w:val="24"/>
        </w:rPr>
      </w:pPr>
    </w:p>
    <w:p w14:paraId="477B6D8E" w14:textId="692F86D8" w:rsidR="003C0695" w:rsidRPr="00126723" w:rsidRDefault="003C0695" w:rsidP="00212C71">
      <w:pPr>
        <w:pStyle w:val="Estilo"/>
        <w:spacing w:line="360" w:lineRule="auto"/>
        <w:rPr>
          <w:rFonts w:ascii="Arial Nova Light" w:hAnsi="Arial Nova Light"/>
          <w:bCs/>
          <w:szCs w:val="24"/>
        </w:rPr>
      </w:pPr>
      <w:r w:rsidRPr="00126723">
        <w:rPr>
          <w:rFonts w:ascii="Arial Nova Light" w:hAnsi="Arial Nova Light"/>
          <w:bCs/>
          <w:szCs w:val="24"/>
        </w:rPr>
        <w:t xml:space="preserve">De ahí que dicha obligación se encuentra satisfecha desde el </w:t>
      </w:r>
      <w:r w:rsidR="000F62CC">
        <w:rPr>
          <w:rFonts w:ascii="Arial Nova Light" w:hAnsi="Arial Nova Light"/>
          <w:bCs/>
          <w:szCs w:val="24"/>
        </w:rPr>
        <w:t>punto</w:t>
      </w:r>
      <w:r w:rsidRPr="00126723">
        <w:rPr>
          <w:rFonts w:ascii="Arial Nova Light" w:hAnsi="Arial Nova Light"/>
          <w:bCs/>
          <w:szCs w:val="24"/>
        </w:rPr>
        <w:t xml:space="preserve"> de vista formal, cuando en el acto impugnado se expresan las normas legales aplicables, </w:t>
      </w:r>
      <w:r w:rsidR="00B932E9" w:rsidRPr="00126723">
        <w:rPr>
          <w:rFonts w:ascii="Arial Nova Light" w:hAnsi="Arial Nova Light"/>
          <w:bCs/>
          <w:szCs w:val="24"/>
        </w:rPr>
        <w:t xml:space="preserve">y los hechos que hacen que el caso encuadre en las hipótesis normativas. </w:t>
      </w:r>
    </w:p>
    <w:p w14:paraId="575A994A" w14:textId="49B789D8" w:rsidR="00B932E9" w:rsidRPr="00126723" w:rsidRDefault="00B932E9" w:rsidP="00212C71">
      <w:pPr>
        <w:pStyle w:val="Estilo"/>
        <w:spacing w:line="360" w:lineRule="auto"/>
        <w:rPr>
          <w:rFonts w:ascii="Arial Nova Light" w:hAnsi="Arial Nova Light"/>
          <w:bCs/>
          <w:szCs w:val="24"/>
        </w:rPr>
      </w:pPr>
    </w:p>
    <w:p w14:paraId="10293FC7" w14:textId="77C54099" w:rsidR="004B234F" w:rsidRPr="00126723" w:rsidRDefault="008A1072" w:rsidP="00686D6C">
      <w:pPr>
        <w:pStyle w:val="Estilo"/>
        <w:spacing w:line="360" w:lineRule="auto"/>
        <w:rPr>
          <w:rFonts w:ascii="Arial Nova Light" w:hAnsi="Arial Nova Light"/>
          <w:bCs/>
          <w:szCs w:val="24"/>
        </w:rPr>
      </w:pPr>
      <w:r w:rsidRPr="00126723">
        <w:rPr>
          <w:rFonts w:ascii="Arial Nova Light" w:hAnsi="Arial Nova Light"/>
          <w:bCs/>
          <w:szCs w:val="24"/>
        </w:rPr>
        <w:t xml:space="preserve">En esa lógica, del análisis de las constancias y los escritos presentados por las partes promoventes, tenemos que efectivamente se duelen de los mecanismos de selección, así como los lineamientos para la designación de las candidaturas contenidos en la convocatoria emitida por el partido MORENA en fecha </w:t>
      </w:r>
      <w:r w:rsidR="00F145F4">
        <w:rPr>
          <w:rFonts w:ascii="Arial Nova Light" w:hAnsi="Arial Nova Light"/>
          <w:bCs/>
          <w:szCs w:val="24"/>
        </w:rPr>
        <w:t>treinta</w:t>
      </w:r>
      <w:r w:rsidRPr="00126723">
        <w:rPr>
          <w:rFonts w:ascii="Arial Nova Light" w:hAnsi="Arial Nova Light"/>
          <w:bCs/>
          <w:szCs w:val="24"/>
        </w:rPr>
        <w:t xml:space="preserve"> </w:t>
      </w:r>
      <w:r w:rsidR="00F145F4">
        <w:rPr>
          <w:rFonts w:ascii="Arial Nova Light" w:hAnsi="Arial Nova Light"/>
          <w:bCs/>
          <w:szCs w:val="24"/>
        </w:rPr>
        <w:t>de enero</w:t>
      </w:r>
      <w:r w:rsidR="00E72F30">
        <w:rPr>
          <w:rFonts w:ascii="Arial Nova Light" w:hAnsi="Arial Nova Light"/>
          <w:bCs/>
          <w:szCs w:val="24"/>
        </w:rPr>
        <w:t xml:space="preserve"> y del resultado del proceso de selección, que en el caso es la determinación realizada por la Comisión Nacional de Elecciones en fecha 20 de marzo</w:t>
      </w:r>
      <w:r w:rsidR="00F145F4">
        <w:rPr>
          <w:rFonts w:ascii="Arial Nova Light" w:hAnsi="Arial Nova Light"/>
          <w:bCs/>
          <w:szCs w:val="24"/>
        </w:rPr>
        <w:t>.</w:t>
      </w:r>
    </w:p>
    <w:p w14:paraId="63E06A98" w14:textId="33663EEF" w:rsidR="008A1072" w:rsidRPr="00126723" w:rsidRDefault="008A1072" w:rsidP="00686D6C">
      <w:pPr>
        <w:pStyle w:val="Estilo"/>
        <w:spacing w:line="360" w:lineRule="auto"/>
        <w:rPr>
          <w:rFonts w:ascii="Arial Nova Light" w:hAnsi="Arial Nova Light"/>
          <w:bCs/>
          <w:szCs w:val="24"/>
        </w:rPr>
      </w:pPr>
    </w:p>
    <w:p w14:paraId="008B0FBA" w14:textId="606B8B88" w:rsidR="00B12B80" w:rsidRPr="00126723" w:rsidRDefault="00E72F30" w:rsidP="00686D6C">
      <w:pPr>
        <w:pStyle w:val="Estilo"/>
        <w:spacing w:line="360" w:lineRule="auto"/>
        <w:rPr>
          <w:rFonts w:ascii="Arial Nova Light" w:hAnsi="Arial Nova Light"/>
          <w:bCs/>
          <w:szCs w:val="24"/>
        </w:rPr>
      </w:pPr>
      <w:r>
        <w:rPr>
          <w:rFonts w:ascii="Arial Nova Light" w:hAnsi="Arial Nova Light"/>
          <w:bCs/>
          <w:szCs w:val="24"/>
        </w:rPr>
        <w:t>En ese entendido</w:t>
      </w:r>
      <w:r w:rsidR="00455047" w:rsidRPr="00126723">
        <w:rPr>
          <w:rFonts w:ascii="Arial Nova Light" w:hAnsi="Arial Nova Light"/>
          <w:bCs/>
          <w:szCs w:val="24"/>
        </w:rPr>
        <w:t xml:space="preserve">, </w:t>
      </w:r>
      <w:r>
        <w:rPr>
          <w:rFonts w:ascii="Arial Nova Light" w:hAnsi="Arial Nova Light"/>
          <w:bCs/>
          <w:szCs w:val="24"/>
        </w:rPr>
        <w:t xml:space="preserve">tenemos que </w:t>
      </w:r>
      <w:r w:rsidR="00426C61" w:rsidRPr="00126723">
        <w:rPr>
          <w:rFonts w:ascii="Arial Nova Light" w:hAnsi="Arial Nova Light"/>
          <w:bCs/>
          <w:szCs w:val="24"/>
        </w:rPr>
        <w:t>la CNHJ seña</w:t>
      </w:r>
      <w:r w:rsidR="00F145F4">
        <w:rPr>
          <w:rFonts w:ascii="Arial Nova Light" w:hAnsi="Arial Nova Light"/>
          <w:bCs/>
          <w:szCs w:val="24"/>
        </w:rPr>
        <w:t>la</w:t>
      </w:r>
      <w:r w:rsidR="00426C61" w:rsidRPr="00126723">
        <w:rPr>
          <w:rFonts w:ascii="Arial Nova Light" w:hAnsi="Arial Nova Light"/>
          <w:bCs/>
          <w:szCs w:val="24"/>
        </w:rPr>
        <w:t xml:space="preserve"> que los promoventes anexaron como medios probatorios tales documentos como la convocatoria y las bases para la selección de candidaturas, </w:t>
      </w:r>
      <w:r w:rsidR="003C6D28" w:rsidRPr="00126723">
        <w:rPr>
          <w:rFonts w:ascii="Arial Nova Light" w:hAnsi="Arial Nova Light"/>
          <w:bCs/>
          <w:szCs w:val="24"/>
        </w:rPr>
        <w:t>por lo que con fundamento en el artículo 34, numeral 2, incisos c) al f),</w:t>
      </w:r>
      <w:r w:rsidR="004B3267" w:rsidRPr="00126723">
        <w:rPr>
          <w:rFonts w:ascii="Arial Nova Light" w:hAnsi="Arial Nova Light"/>
          <w:bCs/>
          <w:szCs w:val="24"/>
        </w:rPr>
        <w:t xml:space="preserve"> en relación con el artículo 22 del reglamento de la CNHJ, </w:t>
      </w:r>
      <w:r w:rsidR="00957D78">
        <w:rPr>
          <w:rFonts w:ascii="Arial Nova Light" w:hAnsi="Arial Nova Light"/>
          <w:bCs/>
          <w:szCs w:val="24"/>
        </w:rPr>
        <w:t xml:space="preserve">es que se determina que </w:t>
      </w:r>
      <w:r w:rsidR="004B3267" w:rsidRPr="00126723">
        <w:rPr>
          <w:rFonts w:ascii="Arial Nova Light" w:hAnsi="Arial Nova Light"/>
          <w:bCs/>
          <w:szCs w:val="24"/>
        </w:rPr>
        <w:t>se actualiza la causal de improcedencia</w:t>
      </w:r>
      <w:r w:rsidR="00957BCD" w:rsidRPr="00126723">
        <w:rPr>
          <w:rFonts w:ascii="Arial Nova Light" w:hAnsi="Arial Nova Light"/>
          <w:bCs/>
          <w:szCs w:val="24"/>
        </w:rPr>
        <w:t xml:space="preserve">, </w:t>
      </w:r>
      <w:r w:rsidR="00957D78">
        <w:rPr>
          <w:rFonts w:ascii="Arial Nova Light" w:hAnsi="Arial Nova Light"/>
          <w:bCs/>
          <w:szCs w:val="24"/>
        </w:rPr>
        <w:t>pues el momento oportuno procesal</w:t>
      </w:r>
      <w:r w:rsidR="005E7A64">
        <w:rPr>
          <w:rFonts w:ascii="Arial Nova Light" w:hAnsi="Arial Nova Light"/>
          <w:bCs/>
          <w:szCs w:val="24"/>
        </w:rPr>
        <w:t xml:space="preserve"> para controvertir el listado de candidaturas</w:t>
      </w:r>
      <w:r w:rsidR="00957D78">
        <w:rPr>
          <w:rFonts w:ascii="Arial Nova Light" w:hAnsi="Arial Nova Light"/>
          <w:bCs/>
          <w:szCs w:val="24"/>
        </w:rPr>
        <w:t xml:space="preserve">, era los cuatro días posteriores </w:t>
      </w:r>
      <w:r w:rsidR="005E7A64">
        <w:rPr>
          <w:rFonts w:ascii="Arial Nova Light" w:hAnsi="Arial Nova Light"/>
          <w:bCs/>
          <w:szCs w:val="24"/>
        </w:rPr>
        <w:t>al</w:t>
      </w:r>
      <w:r w:rsidR="00957D78">
        <w:rPr>
          <w:rFonts w:ascii="Arial Nova Light" w:hAnsi="Arial Nova Light"/>
          <w:bCs/>
          <w:szCs w:val="24"/>
        </w:rPr>
        <w:t xml:space="preserve"> 20 de marzo</w:t>
      </w:r>
      <w:r w:rsidR="005E7A64">
        <w:rPr>
          <w:rFonts w:ascii="Arial Nova Light" w:hAnsi="Arial Nova Light"/>
          <w:bCs/>
          <w:szCs w:val="24"/>
        </w:rPr>
        <w:t xml:space="preserve">. </w:t>
      </w:r>
    </w:p>
    <w:p w14:paraId="6E58E785" w14:textId="2DE41CDB" w:rsidR="00E10EAD" w:rsidRPr="00126723" w:rsidRDefault="00686D6C" w:rsidP="00686D6C">
      <w:pPr>
        <w:pStyle w:val="Estilo"/>
        <w:spacing w:line="360" w:lineRule="auto"/>
        <w:rPr>
          <w:rFonts w:ascii="Arial Nova Light" w:hAnsi="Arial Nova Light"/>
          <w:bCs/>
          <w:szCs w:val="24"/>
        </w:rPr>
      </w:pPr>
      <w:r w:rsidRPr="00126723">
        <w:rPr>
          <w:rFonts w:ascii="Arial Nova Light" w:hAnsi="Arial Nova Light"/>
          <w:bCs/>
          <w:szCs w:val="24"/>
        </w:rPr>
        <w:t xml:space="preserve"> </w:t>
      </w:r>
    </w:p>
    <w:p w14:paraId="7E56962F" w14:textId="69A1529A" w:rsidR="00C707F0" w:rsidRPr="00126723" w:rsidRDefault="00497D2F" w:rsidP="0023123F">
      <w:pPr>
        <w:pStyle w:val="Estilo"/>
        <w:numPr>
          <w:ilvl w:val="0"/>
          <w:numId w:val="46"/>
        </w:numPr>
        <w:spacing w:line="360" w:lineRule="auto"/>
        <w:ind w:left="0" w:firstLine="0"/>
        <w:rPr>
          <w:rFonts w:ascii="Arial Nova Light" w:hAnsi="Arial Nova Light"/>
          <w:bCs/>
          <w:szCs w:val="24"/>
        </w:rPr>
      </w:pPr>
      <w:r w:rsidRPr="00126723">
        <w:rPr>
          <w:rFonts w:ascii="Arial Nova Light" w:hAnsi="Arial Nova Light"/>
          <w:b/>
          <w:szCs w:val="24"/>
        </w:rPr>
        <w:t>EN CUANTO A LOS REQUISITOS ESTATUTARIOS</w:t>
      </w:r>
      <w:r w:rsidR="00B12B80" w:rsidRPr="00126723">
        <w:rPr>
          <w:rFonts w:ascii="Arial Nova Light" w:hAnsi="Arial Nova Light"/>
          <w:b/>
          <w:szCs w:val="24"/>
        </w:rPr>
        <w:t xml:space="preserve">.  </w:t>
      </w:r>
      <w:r w:rsidR="005A7130" w:rsidRPr="00126723">
        <w:rPr>
          <w:rFonts w:ascii="Arial Nova Light" w:hAnsi="Arial Nova Light"/>
          <w:b/>
          <w:szCs w:val="24"/>
        </w:rPr>
        <w:t xml:space="preserve"> </w:t>
      </w:r>
      <w:r w:rsidR="005A7130" w:rsidRPr="00126723">
        <w:rPr>
          <w:rFonts w:ascii="Arial Nova Light" w:hAnsi="Arial Nova Light"/>
          <w:bCs/>
          <w:szCs w:val="24"/>
        </w:rPr>
        <w:t xml:space="preserve">Los promoventes se duelen </w:t>
      </w:r>
      <w:r w:rsidR="00C707F0" w:rsidRPr="00126723">
        <w:rPr>
          <w:rFonts w:ascii="Arial Nova Light" w:hAnsi="Arial Nova Light"/>
          <w:bCs/>
          <w:szCs w:val="24"/>
        </w:rPr>
        <w:t xml:space="preserve">manifestando que contrario a lo dictado por la CNHJ respecto a que la selección de candidatos se incumple con lo previsto por la normatividad del partido, considerando que la CNE de MORENA fue omisa en todo su proceso de selección de cumplir con lo consagrado por el artículo 44 del Estatuto de MORENA, en especial en lo señalado en sus incisos a), b) y c). Lo anterior, en relación a la selección de candidaturas </w:t>
      </w:r>
      <w:r w:rsidR="00C707F0" w:rsidRPr="00126723">
        <w:rPr>
          <w:rFonts w:ascii="Arial Nova Light" w:hAnsi="Arial Nova Light"/>
          <w:b/>
          <w:szCs w:val="24"/>
        </w:rPr>
        <w:t>externas</w:t>
      </w:r>
      <w:r w:rsidR="00C707F0" w:rsidRPr="00126723">
        <w:rPr>
          <w:rFonts w:ascii="Arial Nova Light" w:hAnsi="Arial Nova Light"/>
          <w:bCs/>
          <w:szCs w:val="24"/>
        </w:rPr>
        <w:t xml:space="preserve"> al partido. </w:t>
      </w:r>
    </w:p>
    <w:p w14:paraId="3C636A50" w14:textId="77777777" w:rsidR="00C707F0" w:rsidRPr="00126723" w:rsidRDefault="00C707F0" w:rsidP="00C707F0">
      <w:pPr>
        <w:pStyle w:val="Estilo"/>
        <w:spacing w:line="360" w:lineRule="auto"/>
        <w:rPr>
          <w:rFonts w:ascii="Arial Nova Light" w:hAnsi="Arial Nova Light"/>
          <w:bCs/>
          <w:szCs w:val="24"/>
        </w:rPr>
      </w:pPr>
    </w:p>
    <w:p w14:paraId="7F7E3B1A" w14:textId="5593D3BC" w:rsidR="00646A42" w:rsidRPr="00126723" w:rsidRDefault="00DB3A29" w:rsidP="00C707F0">
      <w:pPr>
        <w:pStyle w:val="Estilo"/>
        <w:spacing w:line="360" w:lineRule="auto"/>
        <w:rPr>
          <w:rFonts w:ascii="Arial Nova Light" w:hAnsi="Arial Nova Light"/>
          <w:bCs/>
          <w:szCs w:val="24"/>
        </w:rPr>
      </w:pPr>
      <w:r>
        <w:rPr>
          <w:rFonts w:ascii="Arial Nova Light" w:hAnsi="Arial Nova Light"/>
          <w:bCs/>
          <w:szCs w:val="24"/>
        </w:rPr>
        <w:t>Asimismo, s</w:t>
      </w:r>
      <w:r w:rsidR="00C707F0" w:rsidRPr="00126723">
        <w:rPr>
          <w:rFonts w:ascii="Arial Nova Light" w:hAnsi="Arial Nova Light"/>
          <w:bCs/>
          <w:szCs w:val="24"/>
        </w:rPr>
        <w:t>eñalan que no existió el proceso de insaculación a nivel municipal respecto a la designación de candidaturas RP.</w:t>
      </w:r>
      <w:r w:rsidR="00646A42" w:rsidRPr="00126723">
        <w:rPr>
          <w:rFonts w:ascii="Arial Nova Light" w:hAnsi="Arial Nova Light"/>
          <w:bCs/>
          <w:szCs w:val="24"/>
        </w:rPr>
        <w:t xml:space="preserve"> </w:t>
      </w:r>
    </w:p>
    <w:p w14:paraId="4006D7AD" w14:textId="77777777" w:rsidR="00646A42" w:rsidRPr="00126723" w:rsidRDefault="00646A42" w:rsidP="00C707F0">
      <w:pPr>
        <w:pStyle w:val="Estilo"/>
        <w:spacing w:line="360" w:lineRule="auto"/>
        <w:rPr>
          <w:rFonts w:ascii="Arial Nova Light" w:hAnsi="Arial Nova Light"/>
          <w:bCs/>
          <w:szCs w:val="24"/>
        </w:rPr>
      </w:pPr>
    </w:p>
    <w:p w14:paraId="754D8803" w14:textId="5241978A" w:rsidR="00646A42" w:rsidRPr="00126723" w:rsidRDefault="00646A42" w:rsidP="00C707F0">
      <w:pPr>
        <w:pStyle w:val="Estilo"/>
        <w:spacing w:line="360" w:lineRule="auto"/>
        <w:rPr>
          <w:rFonts w:ascii="Arial Nova Light" w:hAnsi="Arial Nova Light"/>
          <w:bCs/>
          <w:szCs w:val="24"/>
        </w:rPr>
      </w:pPr>
      <w:r w:rsidRPr="00126723">
        <w:rPr>
          <w:rFonts w:ascii="Arial Nova Light" w:hAnsi="Arial Nova Light"/>
          <w:bCs/>
          <w:szCs w:val="24"/>
        </w:rPr>
        <w:t>Al respecto, este Pleno considera que no les asiste la razón a los promoventes teniendo en cuenta los siguientes argumentos</w:t>
      </w:r>
      <w:r w:rsidR="00DB3A29">
        <w:rPr>
          <w:rFonts w:ascii="Arial Nova Light" w:hAnsi="Arial Nova Light"/>
          <w:bCs/>
          <w:szCs w:val="24"/>
        </w:rPr>
        <w:t>:</w:t>
      </w:r>
      <w:r w:rsidRPr="00126723">
        <w:rPr>
          <w:rFonts w:ascii="Arial Nova Light" w:hAnsi="Arial Nova Light"/>
          <w:bCs/>
          <w:szCs w:val="24"/>
        </w:rPr>
        <w:t xml:space="preserve"> </w:t>
      </w:r>
    </w:p>
    <w:p w14:paraId="1D18532B" w14:textId="493B5025" w:rsidR="00646A42" w:rsidRPr="00126723" w:rsidRDefault="00646A42" w:rsidP="00C707F0">
      <w:pPr>
        <w:pStyle w:val="Estilo"/>
        <w:spacing w:line="360" w:lineRule="auto"/>
        <w:rPr>
          <w:rFonts w:ascii="Arial Nova Light" w:hAnsi="Arial Nova Light"/>
          <w:bCs/>
          <w:szCs w:val="24"/>
        </w:rPr>
      </w:pPr>
    </w:p>
    <w:p w14:paraId="28151120" w14:textId="3E16AAC6" w:rsidR="00B12B80" w:rsidRPr="00126723" w:rsidRDefault="00A306FB" w:rsidP="00C707F0">
      <w:pPr>
        <w:pStyle w:val="Estilo"/>
        <w:spacing w:line="360" w:lineRule="auto"/>
        <w:rPr>
          <w:rFonts w:ascii="Arial Nova Light" w:hAnsi="Arial Nova Light"/>
          <w:bCs/>
          <w:szCs w:val="24"/>
        </w:rPr>
      </w:pPr>
      <w:r w:rsidRPr="00126723">
        <w:rPr>
          <w:rFonts w:ascii="Arial Nova Light" w:hAnsi="Arial Nova Light"/>
          <w:bCs/>
          <w:szCs w:val="24"/>
        </w:rPr>
        <w:t xml:space="preserve">Como ya ha sido precisado, el pasado </w:t>
      </w:r>
      <w:r w:rsidR="00680D80">
        <w:rPr>
          <w:rFonts w:ascii="Arial Nova Light" w:hAnsi="Arial Nova Light"/>
          <w:bCs/>
          <w:szCs w:val="24"/>
        </w:rPr>
        <w:t>treinta</w:t>
      </w:r>
      <w:r w:rsidRPr="00126723">
        <w:rPr>
          <w:rFonts w:ascii="Arial Nova Light" w:hAnsi="Arial Nova Light"/>
          <w:bCs/>
          <w:szCs w:val="24"/>
        </w:rPr>
        <w:t xml:space="preserve"> de enero, fue </w:t>
      </w:r>
      <w:r w:rsidR="00CA4288">
        <w:rPr>
          <w:rFonts w:ascii="Arial Nova Light" w:hAnsi="Arial Nova Light"/>
          <w:bCs/>
          <w:szCs w:val="24"/>
        </w:rPr>
        <w:t>publicada</w:t>
      </w:r>
      <w:r w:rsidRPr="00126723">
        <w:rPr>
          <w:rFonts w:ascii="Arial Nova Light" w:hAnsi="Arial Nova Light"/>
          <w:bCs/>
          <w:szCs w:val="24"/>
        </w:rPr>
        <w:t xml:space="preserve"> la convocatoria para la selección de candidaturas, la cual </w:t>
      </w:r>
      <w:r w:rsidR="00B12B80" w:rsidRPr="00126723">
        <w:rPr>
          <w:rFonts w:ascii="Arial Nova Light" w:hAnsi="Arial Nova Light"/>
          <w:bCs/>
          <w:szCs w:val="24"/>
        </w:rPr>
        <w:t xml:space="preserve">fue emitida de conformidad con el artículo 44 y 46 del Estatuto de MORENA, en la que se contienen los aspectos y situaciones relativas a la selección de candidaturas no previstas en el Estatuto. </w:t>
      </w:r>
    </w:p>
    <w:p w14:paraId="4B3EB565" w14:textId="77777777" w:rsidR="00B12B80" w:rsidRPr="00126723" w:rsidRDefault="00B12B80" w:rsidP="00B12B80">
      <w:pPr>
        <w:pStyle w:val="Estilo"/>
        <w:spacing w:line="360" w:lineRule="auto"/>
        <w:rPr>
          <w:rFonts w:ascii="Arial Nova Light" w:hAnsi="Arial Nova Light"/>
          <w:bCs/>
          <w:szCs w:val="24"/>
        </w:rPr>
      </w:pPr>
    </w:p>
    <w:p w14:paraId="3FC1B0B8" w14:textId="1314F87F" w:rsidR="00B12B80" w:rsidRPr="00126723" w:rsidRDefault="00B12B80" w:rsidP="00B12B80">
      <w:pPr>
        <w:pStyle w:val="Estilo"/>
        <w:spacing w:line="360" w:lineRule="auto"/>
        <w:rPr>
          <w:rFonts w:ascii="Arial Nova Light" w:hAnsi="Arial Nova Light"/>
          <w:bCs/>
          <w:szCs w:val="24"/>
        </w:rPr>
      </w:pPr>
      <w:r w:rsidRPr="00126723">
        <w:rPr>
          <w:rFonts w:ascii="Arial Nova Light" w:hAnsi="Arial Nova Light"/>
          <w:bCs/>
          <w:szCs w:val="24"/>
        </w:rPr>
        <w:t>Bajo ese entendimiento, la Comisión de Elecciones es la facultada para proponer al Comité Ejecutivo las convocatorias, recibir solicitudes de quien tenga interés de participar, analizar la documentación presentada, valorar</w:t>
      </w:r>
      <w:r w:rsidR="00680D80">
        <w:rPr>
          <w:rFonts w:ascii="Arial Nova Light" w:hAnsi="Arial Nova Light"/>
          <w:bCs/>
          <w:szCs w:val="24"/>
        </w:rPr>
        <w:t xml:space="preserve">, </w:t>
      </w:r>
      <w:r w:rsidRPr="00126723">
        <w:rPr>
          <w:rFonts w:ascii="Arial Nova Light" w:hAnsi="Arial Nova Light"/>
          <w:bCs/>
          <w:szCs w:val="24"/>
        </w:rPr>
        <w:t xml:space="preserve">calificar perfiles y participar en los procesos de insaculación. </w:t>
      </w:r>
    </w:p>
    <w:p w14:paraId="3A695B73" w14:textId="76E60E23" w:rsidR="00A306FB" w:rsidRPr="00126723" w:rsidRDefault="00A306FB" w:rsidP="00B12B80">
      <w:pPr>
        <w:pStyle w:val="Estilo"/>
        <w:spacing w:line="360" w:lineRule="auto"/>
        <w:rPr>
          <w:rFonts w:ascii="Arial Nova Light" w:hAnsi="Arial Nova Light"/>
          <w:bCs/>
          <w:szCs w:val="24"/>
        </w:rPr>
      </w:pPr>
    </w:p>
    <w:p w14:paraId="1DA871E9" w14:textId="3A2ADAE9" w:rsidR="000A0746" w:rsidRPr="00126723" w:rsidRDefault="001F25D4" w:rsidP="00B12B80">
      <w:pPr>
        <w:pStyle w:val="Estilo"/>
        <w:spacing w:line="360" w:lineRule="auto"/>
        <w:rPr>
          <w:rFonts w:ascii="Arial Nova Light" w:hAnsi="Arial Nova Light"/>
          <w:bCs/>
          <w:szCs w:val="24"/>
        </w:rPr>
      </w:pPr>
      <w:r w:rsidRPr="00126723">
        <w:rPr>
          <w:rFonts w:ascii="Arial Nova Light" w:hAnsi="Arial Nova Light"/>
          <w:bCs/>
          <w:szCs w:val="24"/>
        </w:rPr>
        <w:t xml:space="preserve">Al respecto, Sala Superior en el asunto SUP-JDC-65/2017, estableció que la Comisión de Elecciones de MORENA, cuenta con atribuciones para analizar, </w:t>
      </w:r>
      <w:r w:rsidR="0091231C" w:rsidRPr="00126723">
        <w:rPr>
          <w:rFonts w:ascii="Arial Nova Light" w:hAnsi="Arial Nova Light"/>
          <w:bCs/>
          <w:szCs w:val="24"/>
        </w:rPr>
        <w:t>verificar y valorar la documentación presentada en cumplimiento a los requisitos, así como para calificar los perfiles de conformidad con el artículo 46, inciso d) del Estatut</w:t>
      </w:r>
      <w:r w:rsidR="000A0746" w:rsidRPr="00126723">
        <w:rPr>
          <w:rFonts w:ascii="Arial Nova Light" w:hAnsi="Arial Nova Light"/>
          <w:bCs/>
          <w:szCs w:val="24"/>
        </w:rPr>
        <w:t xml:space="preserve">o. </w:t>
      </w:r>
    </w:p>
    <w:p w14:paraId="191CFEBA" w14:textId="0864F67F" w:rsidR="000A0746" w:rsidRPr="00126723" w:rsidRDefault="000A0746" w:rsidP="00B12B80">
      <w:pPr>
        <w:pStyle w:val="Estilo"/>
        <w:spacing w:line="360" w:lineRule="auto"/>
        <w:rPr>
          <w:rFonts w:ascii="Arial Nova Light" w:hAnsi="Arial Nova Light"/>
          <w:bCs/>
          <w:szCs w:val="24"/>
        </w:rPr>
      </w:pPr>
    </w:p>
    <w:p w14:paraId="24512035" w14:textId="03A7E577" w:rsidR="000A0746" w:rsidRPr="00126723" w:rsidRDefault="000A0746" w:rsidP="00B12B80">
      <w:pPr>
        <w:pStyle w:val="Estilo"/>
        <w:spacing w:line="360" w:lineRule="auto"/>
        <w:rPr>
          <w:rFonts w:ascii="Arial Nova Light" w:hAnsi="Arial Nova Light"/>
          <w:szCs w:val="24"/>
        </w:rPr>
      </w:pPr>
      <w:r w:rsidRPr="00126723">
        <w:rPr>
          <w:rFonts w:ascii="Arial Nova Light" w:hAnsi="Arial Nova Light"/>
          <w:bCs/>
          <w:szCs w:val="24"/>
        </w:rPr>
        <w:t xml:space="preserve">Así mismo, la propia Sala Superior, en los diversos </w:t>
      </w:r>
      <w:r w:rsidR="000E4199" w:rsidRPr="00126723">
        <w:rPr>
          <w:rFonts w:ascii="Arial Nova Light" w:hAnsi="Arial Nova Light"/>
          <w:bCs/>
          <w:szCs w:val="24"/>
        </w:rPr>
        <w:t xml:space="preserve">SUP-JDC-1574/2019 y SUP-JDC-1903/2020, ha señalado que </w:t>
      </w:r>
      <w:r w:rsidR="000E4199" w:rsidRPr="00126723">
        <w:rPr>
          <w:rFonts w:ascii="Arial Nova Light" w:hAnsi="Arial Nova Light"/>
          <w:szCs w:val="24"/>
        </w:rPr>
        <w:t>MORENA no cuenta con un padrón confiable ni cierto de militantes</w:t>
      </w:r>
      <w:r w:rsidR="001B2905" w:rsidRPr="00126723">
        <w:rPr>
          <w:rFonts w:ascii="Arial Nova Light" w:hAnsi="Arial Nova Light"/>
          <w:szCs w:val="24"/>
        </w:rPr>
        <w:t xml:space="preserve">, por lo que </w:t>
      </w:r>
      <w:r w:rsidR="003825CA">
        <w:rPr>
          <w:rFonts w:ascii="Arial Nova Light" w:hAnsi="Arial Nova Light"/>
          <w:szCs w:val="24"/>
        </w:rPr>
        <w:t>a</w:t>
      </w:r>
      <w:r w:rsidR="001B2905" w:rsidRPr="00126723">
        <w:rPr>
          <w:rFonts w:ascii="Arial Nova Light" w:hAnsi="Arial Nova Light"/>
          <w:szCs w:val="24"/>
        </w:rPr>
        <w:t>parecer, o no, en un registro implica únicamente un indicio de la condición de militancia</w:t>
      </w:r>
      <w:r w:rsidR="000E4199" w:rsidRPr="00126723">
        <w:rPr>
          <w:rFonts w:ascii="Arial Nova Light" w:hAnsi="Arial Nova Light"/>
          <w:szCs w:val="24"/>
        </w:rPr>
        <w:t>,</w:t>
      </w:r>
      <w:r w:rsidR="001B2905" w:rsidRPr="00126723">
        <w:rPr>
          <w:rFonts w:ascii="Arial Nova Light" w:hAnsi="Arial Nova Light"/>
          <w:szCs w:val="24"/>
        </w:rPr>
        <w:t xml:space="preserve"> razón por la que cualquier persona interesada </w:t>
      </w:r>
      <w:r w:rsidR="00646F91" w:rsidRPr="00126723">
        <w:rPr>
          <w:rFonts w:ascii="Arial Nova Light" w:hAnsi="Arial Nova Light"/>
          <w:szCs w:val="24"/>
        </w:rPr>
        <w:t xml:space="preserve">puede aportar los medios de prueba que estime necesarios para generar certeza de dicha condición. </w:t>
      </w:r>
    </w:p>
    <w:p w14:paraId="0DA3A44E" w14:textId="59E2FA82" w:rsidR="00646F91" w:rsidRPr="00126723" w:rsidRDefault="00646F91" w:rsidP="00B12B80">
      <w:pPr>
        <w:pStyle w:val="Estilo"/>
        <w:spacing w:line="360" w:lineRule="auto"/>
        <w:rPr>
          <w:rFonts w:ascii="Arial Nova Light" w:hAnsi="Arial Nova Light"/>
          <w:szCs w:val="24"/>
        </w:rPr>
      </w:pPr>
    </w:p>
    <w:p w14:paraId="73B13393" w14:textId="4773C88D" w:rsidR="00646F91" w:rsidRPr="00126723" w:rsidRDefault="00646F91" w:rsidP="00B12B80">
      <w:pPr>
        <w:pStyle w:val="Estilo"/>
        <w:spacing w:line="360" w:lineRule="auto"/>
        <w:rPr>
          <w:rFonts w:ascii="Arial Nova Light" w:hAnsi="Arial Nova Light"/>
          <w:szCs w:val="24"/>
        </w:rPr>
      </w:pPr>
      <w:r w:rsidRPr="00126723">
        <w:rPr>
          <w:rFonts w:ascii="Arial Nova Light" w:hAnsi="Arial Nova Light"/>
          <w:szCs w:val="24"/>
        </w:rPr>
        <w:t xml:space="preserve">En ese entendimiento, la Comisión de Elecciones tiene la facultad discrecional para valorar si los </w:t>
      </w:r>
      <w:r w:rsidR="00B05851" w:rsidRPr="00126723">
        <w:rPr>
          <w:rFonts w:ascii="Arial Nova Light" w:hAnsi="Arial Nova Light"/>
          <w:szCs w:val="24"/>
        </w:rPr>
        <w:t xml:space="preserve">interesados reúnen o satisfacen los requisitos e intereses propios del partido MORENA. </w:t>
      </w:r>
    </w:p>
    <w:p w14:paraId="3FE1B605" w14:textId="5110ADC4" w:rsidR="00B05851" w:rsidRPr="00126723" w:rsidRDefault="00B05851" w:rsidP="00B12B80">
      <w:pPr>
        <w:pStyle w:val="Estilo"/>
        <w:spacing w:line="360" w:lineRule="auto"/>
        <w:rPr>
          <w:rFonts w:ascii="Arial Nova Light" w:hAnsi="Arial Nova Light"/>
          <w:szCs w:val="24"/>
        </w:rPr>
      </w:pPr>
    </w:p>
    <w:p w14:paraId="07E70AC7" w14:textId="0239A33F" w:rsidR="00B05851" w:rsidRPr="00126723" w:rsidRDefault="00B05851" w:rsidP="00B12B80">
      <w:pPr>
        <w:pStyle w:val="Estilo"/>
        <w:spacing w:line="360" w:lineRule="auto"/>
        <w:rPr>
          <w:rFonts w:ascii="Arial Nova Light" w:hAnsi="Arial Nova Light"/>
          <w:szCs w:val="24"/>
        </w:rPr>
      </w:pPr>
      <w:r w:rsidRPr="00126723">
        <w:rPr>
          <w:rFonts w:ascii="Arial Nova Light" w:hAnsi="Arial Nova Light"/>
          <w:szCs w:val="24"/>
        </w:rPr>
        <w:t xml:space="preserve">De tal suerte que exigir a quien aspira a una candidatura aparecer en un padrón de militancia, cuando el propio partido no cuenta con uno cierto, confiable e integral, sería condicionar su participación a un documento irregular y limitaría irracionalmente </w:t>
      </w:r>
      <w:r w:rsidR="00DA74FB" w:rsidRPr="00126723">
        <w:rPr>
          <w:rFonts w:ascii="Arial Nova Light" w:hAnsi="Arial Nova Light"/>
          <w:szCs w:val="24"/>
        </w:rPr>
        <w:t xml:space="preserve">la prueba de estatus de afiliado. </w:t>
      </w:r>
    </w:p>
    <w:p w14:paraId="78385584" w14:textId="24359A8C" w:rsidR="00DA74FB" w:rsidRPr="00126723" w:rsidRDefault="00DA74FB" w:rsidP="00B12B80">
      <w:pPr>
        <w:pStyle w:val="Estilo"/>
        <w:spacing w:line="360" w:lineRule="auto"/>
        <w:rPr>
          <w:rFonts w:ascii="Arial Nova Light" w:hAnsi="Arial Nova Light"/>
          <w:szCs w:val="24"/>
        </w:rPr>
      </w:pPr>
    </w:p>
    <w:p w14:paraId="3776C580" w14:textId="13DF522F" w:rsidR="00DA74FB" w:rsidRPr="00126723" w:rsidRDefault="00DA74FB" w:rsidP="00B12B80">
      <w:pPr>
        <w:pStyle w:val="Estilo"/>
        <w:spacing w:line="360" w:lineRule="auto"/>
        <w:rPr>
          <w:rFonts w:ascii="Arial Nova Light" w:hAnsi="Arial Nova Light"/>
          <w:szCs w:val="24"/>
        </w:rPr>
      </w:pPr>
      <w:r w:rsidRPr="00126723">
        <w:rPr>
          <w:rFonts w:ascii="Arial Nova Light" w:hAnsi="Arial Nova Light"/>
          <w:szCs w:val="24"/>
        </w:rPr>
        <w:t xml:space="preserve">Lo anterior, es congruente con lo señalado en la misma convocatoria en donde se precisa que: </w:t>
      </w:r>
    </w:p>
    <w:p w14:paraId="79609057" w14:textId="77777777" w:rsidR="00DA74FB" w:rsidRPr="00126723" w:rsidRDefault="00DA74FB" w:rsidP="00B12B80">
      <w:pPr>
        <w:pStyle w:val="Estilo"/>
        <w:spacing w:line="360" w:lineRule="auto"/>
        <w:rPr>
          <w:rFonts w:ascii="Arial Nova Light" w:hAnsi="Arial Nova Light"/>
          <w:szCs w:val="24"/>
        </w:rPr>
      </w:pPr>
    </w:p>
    <w:p w14:paraId="10C85F01" w14:textId="6445FEBF" w:rsidR="00DA74FB" w:rsidRPr="00E50B28" w:rsidRDefault="00E50B28" w:rsidP="00DA74FB">
      <w:pPr>
        <w:pStyle w:val="Estilo"/>
        <w:spacing w:line="360" w:lineRule="auto"/>
        <w:ind w:left="1134" w:right="1134"/>
        <w:rPr>
          <w:rFonts w:ascii="Arial Nova Light" w:hAnsi="Arial Nova Light"/>
          <w:b/>
          <w:bCs/>
          <w:i/>
          <w:iCs/>
          <w:sz w:val="20"/>
          <w:szCs w:val="20"/>
        </w:rPr>
      </w:pPr>
      <w:r w:rsidRPr="00E50B28">
        <w:rPr>
          <w:rFonts w:ascii="Arial Nova Light" w:hAnsi="Arial Nova Light"/>
          <w:i/>
          <w:iCs/>
          <w:sz w:val="20"/>
          <w:szCs w:val="20"/>
        </w:rPr>
        <w:t>“</w:t>
      </w:r>
      <w:r w:rsidR="00DA74FB" w:rsidRPr="00E50B28">
        <w:rPr>
          <w:rFonts w:ascii="Arial Nova Light" w:hAnsi="Arial Nova Light"/>
          <w:i/>
          <w:iCs/>
          <w:sz w:val="20"/>
          <w:szCs w:val="20"/>
        </w:rPr>
        <w:t xml:space="preserve">En el caso de las y los protagonistas del cambio verdadero, alguna constancia de afiliación a MORENA. En su caso, conforme a la determinación de la Sala Superior en el SUP-JDC-1903/2020 y acumulados, </w:t>
      </w:r>
      <w:r w:rsidR="00DA74FB" w:rsidRPr="00E50B28">
        <w:rPr>
          <w:rFonts w:ascii="Arial Nova Light" w:hAnsi="Arial Nova Light"/>
          <w:b/>
          <w:bCs/>
          <w:i/>
          <w:iCs/>
          <w:sz w:val="20"/>
          <w:szCs w:val="20"/>
        </w:rPr>
        <w:t>los aspirantes podrán aportar las pruebas que consideren pertinentes a efecto de acreditar la calidad de militante</w:t>
      </w:r>
      <w:r w:rsidR="00DA74FB" w:rsidRPr="00E50B28">
        <w:rPr>
          <w:rFonts w:ascii="Arial Nova Light" w:hAnsi="Arial Nova Light"/>
          <w:i/>
          <w:iCs/>
          <w:sz w:val="20"/>
          <w:szCs w:val="20"/>
        </w:rPr>
        <w:t>, lo cual será analizado por la Comisión Nacional de Elecciones al verificar el cumplimiento de los requisitos;</w:t>
      </w:r>
      <w:r w:rsidRPr="00E50B28">
        <w:rPr>
          <w:rFonts w:ascii="Arial Nova Light" w:hAnsi="Arial Nova Light"/>
          <w:i/>
          <w:iCs/>
          <w:sz w:val="20"/>
          <w:szCs w:val="20"/>
        </w:rPr>
        <w:t>”</w:t>
      </w:r>
    </w:p>
    <w:p w14:paraId="2D5BA9E1" w14:textId="77777777" w:rsidR="00AB48CB" w:rsidRPr="00126723" w:rsidRDefault="00AB48CB" w:rsidP="006B3603">
      <w:pPr>
        <w:pStyle w:val="Estilo"/>
        <w:spacing w:line="360" w:lineRule="auto"/>
        <w:rPr>
          <w:rFonts w:ascii="Arial Nova Light" w:hAnsi="Arial Nova Light" w:cs="Arial"/>
          <w:szCs w:val="24"/>
        </w:rPr>
      </w:pPr>
    </w:p>
    <w:p w14:paraId="04545134" w14:textId="0BC16D33" w:rsidR="002C049D" w:rsidRPr="00126723" w:rsidRDefault="002B4242" w:rsidP="006B3603">
      <w:pPr>
        <w:pStyle w:val="Estilo"/>
        <w:spacing w:line="360" w:lineRule="auto"/>
        <w:rPr>
          <w:rFonts w:ascii="Arial Nova Light" w:hAnsi="Arial Nova Light"/>
          <w:bCs/>
          <w:szCs w:val="24"/>
        </w:rPr>
      </w:pPr>
      <w:r w:rsidRPr="00126723">
        <w:rPr>
          <w:rFonts w:ascii="Arial Nova Light" w:hAnsi="Arial Nova Light" w:cs="Arial"/>
          <w:szCs w:val="24"/>
        </w:rPr>
        <w:lastRenderedPageBreak/>
        <w:t xml:space="preserve">Ahora bien, en cuanto a los señalamientos que hace respecto a la falta de </w:t>
      </w:r>
      <w:r w:rsidR="00AB48CB" w:rsidRPr="00126723">
        <w:rPr>
          <w:rFonts w:ascii="Arial Nova Light" w:hAnsi="Arial Nova Light"/>
          <w:bCs/>
          <w:szCs w:val="24"/>
        </w:rPr>
        <w:t>proceso de insaculación a nivel municipa</w:t>
      </w:r>
      <w:r w:rsidR="002C049D" w:rsidRPr="00126723">
        <w:rPr>
          <w:rFonts w:ascii="Arial Nova Light" w:hAnsi="Arial Nova Light"/>
          <w:bCs/>
          <w:szCs w:val="24"/>
        </w:rPr>
        <w:t xml:space="preserve">l, cabe señalar que el artículo 44, inciso w) faculta a la Comisión de Elecciones para resolver de manera directa sobre la designación, </w:t>
      </w:r>
      <w:r w:rsidR="008E78A4" w:rsidRPr="00126723">
        <w:rPr>
          <w:rFonts w:ascii="Arial Nova Light" w:hAnsi="Arial Nova Light"/>
          <w:bCs/>
          <w:szCs w:val="24"/>
        </w:rPr>
        <w:t xml:space="preserve">pudiendo realizar modificaciones al proceso y convocatoria lo que implicó la suspensión de asambleas municipales a causa de la pandemia COVID-19. </w:t>
      </w:r>
    </w:p>
    <w:p w14:paraId="168707C9" w14:textId="55425DB8" w:rsidR="008E78A4" w:rsidRPr="00126723" w:rsidRDefault="008E78A4" w:rsidP="006B3603">
      <w:pPr>
        <w:pStyle w:val="Estilo"/>
        <w:spacing w:line="360" w:lineRule="auto"/>
        <w:rPr>
          <w:rFonts w:ascii="Arial Nova Light" w:hAnsi="Arial Nova Light"/>
          <w:bCs/>
          <w:szCs w:val="24"/>
        </w:rPr>
      </w:pPr>
    </w:p>
    <w:p w14:paraId="6E12426B" w14:textId="05C8951F" w:rsidR="008E78A4" w:rsidRPr="00126723" w:rsidRDefault="008E78A4" w:rsidP="006B3603">
      <w:pPr>
        <w:pStyle w:val="Estilo"/>
        <w:spacing w:line="360" w:lineRule="auto"/>
        <w:rPr>
          <w:rFonts w:ascii="Arial Nova Light" w:hAnsi="Arial Nova Light"/>
          <w:bCs/>
          <w:szCs w:val="24"/>
        </w:rPr>
      </w:pPr>
      <w:r w:rsidRPr="00126723">
        <w:rPr>
          <w:rFonts w:ascii="Arial Nova Light" w:hAnsi="Arial Nova Light"/>
          <w:bCs/>
          <w:szCs w:val="24"/>
        </w:rPr>
        <w:t>Así, con fundamento en tal facultad para resolver aspectos y situaciones no previstas</w:t>
      </w:r>
      <w:r w:rsidR="00CB3B65" w:rsidRPr="00126723">
        <w:rPr>
          <w:rFonts w:ascii="Arial Nova Light" w:hAnsi="Arial Nova Light"/>
          <w:bCs/>
          <w:szCs w:val="24"/>
        </w:rPr>
        <w:t xml:space="preserve">, se dictó una modificación a la convocatoria </w:t>
      </w:r>
      <w:r w:rsidR="00695D6E" w:rsidRPr="00126723">
        <w:rPr>
          <w:rFonts w:ascii="Arial Nova Light" w:hAnsi="Arial Nova Light"/>
          <w:bCs/>
          <w:szCs w:val="24"/>
        </w:rPr>
        <w:t xml:space="preserve">determinando un procedimiento distinto a efecto de calificar, valorar y determinar de manera directa la selección de candidatos. </w:t>
      </w:r>
    </w:p>
    <w:p w14:paraId="7B0D790F" w14:textId="4EEA3A7F" w:rsidR="00695D6E" w:rsidRPr="00126723" w:rsidRDefault="00695D6E" w:rsidP="006B3603">
      <w:pPr>
        <w:pStyle w:val="Estilo"/>
        <w:spacing w:line="360" w:lineRule="auto"/>
        <w:rPr>
          <w:rFonts w:ascii="Arial Nova Light" w:hAnsi="Arial Nova Light"/>
          <w:bCs/>
          <w:szCs w:val="24"/>
        </w:rPr>
      </w:pPr>
    </w:p>
    <w:p w14:paraId="0AD2F255" w14:textId="794A3341" w:rsidR="00695D6E" w:rsidRPr="00126723" w:rsidRDefault="00695D6E" w:rsidP="006B3603">
      <w:pPr>
        <w:pStyle w:val="Estilo"/>
        <w:spacing w:line="360" w:lineRule="auto"/>
        <w:rPr>
          <w:rFonts w:ascii="Arial Nova Light" w:hAnsi="Arial Nova Light"/>
          <w:bCs/>
          <w:szCs w:val="24"/>
        </w:rPr>
      </w:pPr>
      <w:r w:rsidRPr="00126723">
        <w:rPr>
          <w:rFonts w:ascii="Arial Nova Light" w:hAnsi="Arial Nova Light"/>
          <w:bCs/>
          <w:szCs w:val="24"/>
        </w:rPr>
        <w:t xml:space="preserve">Lo anterior, tiene </w:t>
      </w:r>
      <w:r w:rsidR="00F507C7" w:rsidRPr="00126723">
        <w:rPr>
          <w:rFonts w:ascii="Arial Nova Light" w:hAnsi="Arial Nova Light"/>
          <w:bCs/>
          <w:szCs w:val="24"/>
        </w:rPr>
        <w:t>fundamento</w:t>
      </w:r>
      <w:r w:rsidRPr="00126723">
        <w:rPr>
          <w:rFonts w:ascii="Arial Nova Light" w:hAnsi="Arial Nova Light"/>
          <w:bCs/>
          <w:szCs w:val="24"/>
        </w:rPr>
        <w:t xml:space="preserve"> en lo resuelto en los juicios ST-JDC-157/2020 y acumulados, en donde se concluyó que </w:t>
      </w:r>
      <w:r w:rsidR="00F507C7" w:rsidRPr="00126723">
        <w:rPr>
          <w:rFonts w:ascii="Arial Nova Light" w:hAnsi="Arial Nova Light"/>
          <w:bCs/>
          <w:szCs w:val="24"/>
        </w:rPr>
        <w:t>la modificación hecha por MORENA en el proceso de selección, cancelando las asambleas municipales, fue una decisión que tuvo sustento en la facultad discrecional conferida a sus órganos, ejercida ante la situación sanitaria que aqueja al país</w:t>
      </w:r>
      <w:r w:rsidR="00E4107D" w:rsidRPr="00126723">
        <w:rPr>
          <w:rFonts w:ascii="Arial Nova Light" w:hAnsi="Arial Nova Light"/>
          <w:bCs/>
          <w:szCs w:val="24"/>
        </w:rPr>
        <w:t xml:space="preserve"> y que exige la adopción de medidas en aras de salvaguardar la salud de la ciudadanía. </w:t>
      </w:r>
    </w:p>
    <w:p w14:paraId="2E9D2CD7" w14:textId="5ECE010E" w:rsidR="00E4107D" w:rsidRPr="00126723" w:rsidRDefault="00E4107D" w:rsidP="006B3603">
      <w:pPr>
        <w:pStyle w:val="Estilo"/>
        <w:spacing w:line="360" w:lineRule="auto"/>
        <w:rPr>
          <w:rFonts w:ascii="Arial Nova Light" w:hAnsi="Arial Nova Light"/>
          <w:bCs/>
          <w:szCs w:val="24"/>
        </w:rPr>
      </w:pPr>
    </w:p>
    <w:p w14:paraId="200B64D5" w14:textId="0152412B" w:rsidR="00E4107D" w:rsidRPr="00126723" w:rsidRDefault="00E4107D" w:rsidP="006B3603">
      <w:pPr>
        <w:pStyle w:val="Estilo"/>
        <w:spacing w:line="360" w:lineRule="auto"/>
        <w:rPr>
          <w:rFonts w:ascii="Arial Nova Light" w:hAnsi="Arial Nova Light"/>
          <w:bCs/>
          <w:szCs w:val="24"/>
        </w:rPr>
      </w:pPr>
      <w:r w:rsidRPr="00126723">
        <w:rPr>
          <w:rFonts w:ascii="Arial Nova Light" w:hAnsi="Arial Nova Light"/>
          <w:bCs/>
          <w:szCs w:val="24"/>
        </w:rPr>
        <w:t>En esa lógica, los órganos internos de MORENA, determinaron seguir la convocatoria con un método diverso al de las asambleas e insaculaciones municipales</w:t>
      </w:r>
      <w:r w:rsidR="00446D6D" w:rsidRPr="00126723">
        <w:rPr>
          <w:rFonts w:ascii="Arial Nova Light" w:hAnsi="Arial Nova Light"/>
          <w:bCs/>
          <w:szCs w:val="24"/>
        </w:rPr>
        <w:t xml:space="preserve">, en apego a la facultad que le es conferida en el inciso w) del artículo 44 del Estatuto. </w:t>
      </w:r>
    </w:p>
    <w:p w14:paraId="4B9AB788" w14:textId="097FBCFE" w:rsidR="00446D6D" w:rsidRPr="00126723" w:rsidRDefault="00446D6D" w:rsidP="006B3603">
      <w:pPr>
        <w:pStyle w:val="Estilo"/>
        <w:spacing w:line="360" w:lineRule="auto"/>
        <w:rPr>
          <w:rFonts w:ascii="Arial Nova Light" w:hAnsi="Arial Nova Light"/>
          <w:bCs/>
          <w:szCs w:val="24"/>
        </w:rPr>
      </w:pPr>
    </w:p>
    <w:p w14:paraId="04822063" w14:textId="32AD26E0" w:rsidR="00446D6D" w:rsidRPr="00126723" w:rsidRDefault="00446D6D" w:rsidP="006B3603">
      <w:pPr>
        <w:pStyle w:val="Estilo"/>
        <w:spacing w:line="360" w:lineRule="auto"/>
        <w:rPr>
          <w:rFonts w:ascii="Arial Nova Light" w:hAnsi="Arial Nova Light"/>
          <w:bCs/>
          <w:szCs w:val="24"/>
        </w:rPr>
      </w:pPr>
      <w:r w:rsidRPr="00126723">
        <w:rPr>
          <w:rFonts w:ascii="Arial Nova Light" w:hAnsi="Arial Nova Light"/>
          <w:bCs/>
          <w:szCs w:val="24"/>
        </w:rPr>
        <w:t xml:space="preserve">Por lo tanto, </w:t>
      </w:r>
      <w:r w:rsidR="00557ADE" w:rsidRPr="00126723">
        <w:rPr>
          <w:rFonts w:ascii="Arial Nova Light" w:hAnsi="Arial Nova Light"/>
          <w:bCs/>
          <w:szCs w:val="24"/>
        </w:rPr>
        <w:t>es importante destacar que Sala Superior en el expediente SUP-JDC-238-2021, ha considerado que la facultad discrecional consiste en que la autoridad u órgano a quien la normativa le confiere tal atribución, puede elegir de entre dos o mas alternativas posibles, aquella que mejor responda a sus intereses</w:t>
      </w:r>
      <w:r w:rsidR="00C9248C" w:rsidRPr="00126723">
        <w:rPr>
          <w:rFonts w:ascii="Arial Nova Light" w:hAnsi="Arial Nova Light"/>
          <w:bCs/>
          <w:szCs w:val="24"/>
        </w:rPr>
        <w:t xml:space="preserve"> cuando en el ordenamiento aplicable se prevea y no se contemple solución diversa. </w:t>
      </w:r>
    </w:p>
    <w:p w14:paraId="37B92549" w14:textId="54D8270D" w:rsidR="00C9248C" w:rsidRPr="00126723" w:rsidRDefault="00C9248C" w:rsidP="006B3603">
      <w:pPr>
        <w:pStyle w:val="Estilo"/>
        <w:spacing w:line="360" w:lineRule="auto"/>
        <w:rPr>
          <w:rFonts w:ascii="Arial Nova Light" w:hAnsi="Arial Nova Light"/>
          <w:bCs/>
          <w:szCs w:val="24"/>
        </w:rPr>
      </w:pPr>
    </w:p>
    <w:p w14:paraId="035F0D25" w14:textId="5AFF4591" w:rsidR="00C9248C" w:rsidRPr="00126723" w:rsidRDefault="00C9248C" w:rsidP="006B3603">
      <w:pPr>
        <w:pStyle w:val="Estilo"/>
        <w:spacing w:line="360" w:lineRule="auto"/>
        <w:rPr>
          <w:rFonts w:ascii="Arial Nova Light" w:hAnsi="Arial Nova Light"/>
          <w:bCs/>
          <w:szCs w:val="24"/>
        </w:rPr>
      </w:pPr>
      <w:r w:rsidRPr="00126723">
        <w:rPr>
          <w:rFonts w:ascii="Arial Nova Light" w:hAnsi="Arial Nova Light"/>
          <w:bCs/>
          <w:szCs w:val="24"/>
        </w:rPr>
        <w:t>Esto significa que la discrecionalidad no es una potestad que excede la norma, m</w:t>
      </w:r>
      <w:r w:rsidR="00460FDB">
        <w:rPr>
          <w:rFonts w:ascii="Arial Nova Light" w:hAnsi="Arial Nova Light"/>
          <w:bCs/>
          <w:szCs w:val="24"/>
        </w:rPr>
        <w:t>á</w:t>
      </w:r>
      <w:r w:rsidRPr="00126723">
        <w:rPr>
          <w:rFonts w:ascii="Arial Nova Light" w:hAnsi="Arial Nova Light"/>
          <w:bCs/>
          <w:szCs w:val="24"/>
        </w:rPr>
        <w:t xml:space="preserve">s bien, es el ejercicio de una atribución </w:t>
      </w:r>
      <w:r w:rsidR="006A688E" w:rsidRPr="00126723">
        <w:rPr>
          <w:rFonts w:ascii="Arial Nova Light" w:hAnsi="Arial Nova Light"/>
          <w:bCs/>
          <w:szCs w:val="24"/>
        </w:rPr>
        <w:t xml:space="preserve">conferida jurídicamente que otorga un margen de apreciación frente a eventualidades, quien tras realizar una serie de valoraciones ejerce sus facultades en pro de los intereses partidistas. </w:t>
      </w:r>
    </w:p>
    <w:p w14:paraId="10E4E973" w14:textId="38DC912F" w:rsidR="006A688E" w:rsidRPr="00126723" w:rsidRDefault="006A688E" w:rsidP="006B3603">
      <w:pPr>
        <w:pStyle w:val="Estilo"/>
        <w:spacing w:line="360" w:lineRule="auto"/>
        <w:rPr>
          <w:rFonts w:ascii="Arial Nova Light" w:hAnsi="Arial Nova Light"/>
          <w:bCs/>
          <w:szCs w:val="24"/>
        </w:rPr>
      </w:pPr>
    </w:p>
    <w:p w14:paraId="00BA7897" w14:textId="546D0808" w:rsidR="006A688E" w:rsidRPr="00126723" w:rsidRDefault="006A688E" w:rsidP="006B3603">
      <w:pPr>
        <w:pStyle w:val="Estilo"/>
        <w:spacing w:line="360" w:lineRule="auto"/>
        <w:rPr>
          <w:rFonts w:ascii="Arial Nova Light" w:hAnsi="Arial Nova Light"/>
          <w:bCs/>
          <w:szCs w:val="24"/>
        </w:rPr>
      </w:pPr>
      <w:r w:rsidRPr="00126723">
        <w:rPr>
          <w:rFonts w:ascii="Arial Nova Light" w:hAnsi="Arial Nova Light"/>
          <w:bCs/>
          <w:szCs w:val="24"/>
        </w:rPr>
        <w:t xml:space="preserve">Por tanto, los agravios pretendidos, devienen </w:t>
      </w:r>
      <w:r w:rsidRPr="00126723">
        <w:rPr>
          <w:rFonts w:ascii="Arial Nova Light" w:hAnsi="Arial Nova Light"/>
          <w:b/>
          <w:szCs w:val="24"/>
        </w:rPr>
        <w:t xml:space="preserve">infundados, </w:t>
      </w:r>
      <w:r w:rsidRPr="00126723">
        <w:rPr>
          <w:rFonts w:ascii="Arial Nova Light" w:hAnsi="Arial Nova Light"/>
          <w:bCs/>
          <w:szCs w:val="24"/>
        </w:rPr>
        <w:t>toda vez que la responsable, ejerció sus facultades discrecionales, sustentada en modificaciones razonables a la convocatoria</w:t>
      </w:r>
      <w:r w:rsidR="00460FDB">
        <w:rPr>
          <w:rFonts w:ascii="Arial Nova Light" w:hAnsi="Arial Nova Light"/>
          <w:bCs/>
          <w:szCs w:val="24"/>
        </w:rPr>
        <w:t>,</w:t>
      </w:r>
      <w:r w:rsidRPr="00126723">
        <w:rPr>
          <w:rFonts w:ascii="Arial Nova Light" w:hAnsi="Arial Nova Light"/>
          <w:bCs/>
          <w:szCs w:val="24"/>
        </w:rPr>
        <w:t xml:space="preserve"> </w:t>
      </w:r>
      <w:r w:rsidR="002622EC" w:rsidRPr="00126723">
        <w:rPr>
          <w:rFonts w:ascii="Arial Nova Light" w:hAnsi="Arial Nova Light"/>
          <w:bCs/>
          <w:szCs w:val="24"/>
        </w:rPr>
        <w:t xml:space="preserve">previa valoración y análisis de perfiles contendientes. </w:t>
      </w:r>
    </w:p>
    <w:p w14:paraId="3B57EC4E" w14:textId="77777777" w:rsidR="00497D2F" w:rsidRPr="00126723" w:rsidRDefault="00497D2F" w:rsidP="00497D2F">
      <w:pPr>
        <w:pStyle w:val="Estilo"/>
        <w:spacing w:line="360" w:lineRule="auto"/>
        <w:ind w:left="720"/>
        <w:rPr>
          <w:rFonts w:ascii="Arial Nova Light" w:hAnsi="Arial Nova Light" w:cs="Arial"/>
          <w:b/>
          <w:bCs/>
          <w:szCs w:val="24"/>
        </w:rPr>
      </w:pPr>
    </w:p>
    <w:p w14:paraId="5E6F839F" w14:textId="3EBE8F1D" w:rsidR="004B2823" w:rsidRPr="00126723" w:rsidRDefault="00CE7A80" w:rsidP="00CE7A80">
      <w:pPr>
        <w:pStyle w:val="Prrafodelista"/>
        <w:numPr>
          <w:ilvl w:val="0"/>
          <w:numId w:val="35"/>
        </w:numPr>
        <w:spacing w:after="0" w:line="360" w:lineRule="auto"/>
        <w:ind w:left="0" w:firstLine="0"/>
        <w:jc w:val="both"/>
        <w:rPr>
          <w:rFonts w:ascii="Arial Nova Light" w:hAnsi="Arial Nova Light" w:cs="Arial"/>
          <w:b/>
          <w:bCs/>
          <w:sz w:val="24"/>
          <w:szCs w:val="24"/>
        </w:rPr>
      </w:pPr>
      <w:r w:rsidRPr="00126723">
        <w:rPr>
          <w:rFonts w:ascii="Arial Nova Light" w:hAnsi="Arial Nova Light" w:cs="Arial"/>
          <w:b/>
          <w:bCs/>
          <w:sz w:val="24"/>
          <w:szCs w:val="24"/>
        </w:rPr>
        <w:t>RESOLUTIVOS</w:t>
      </w:r>
      <w:r w:rsidR="004B2823" w:rsidRPr="00126723">
        <w:rPr>
          <w:rFonts w:ascii="Arial Nova Light" w:hAnsi="Arial Nova Light" w:cs="Arial"/>
          <w:b/>
          <w:bCs/>
          <w:sz w:val="24"/>
          <w:szCs w:val="24"/>
        </w:rPr>
        <w:t>.</w:t>
      </w:r>
    </w:p>
    <w:p w14:paraId="401071E3" w14:textId="5ED64DB2" w:rsidR="009A54F1" w:rsidRPr="00126723" w:rsidRDefault="009A54F1" w:rsidP="004B2823">
      <w:pPr>
        <w:pStyle w:val="Prrafodelista"/>
        <w:spacing w:after="0" w:line="360" w:lineRule="auto"/>
        <w:ind w:left="1080"/>
        <w:jc w:val="both"/>
        <w:rPr>
          <w:rFonts w:ascii="Arial Nova Light" w:hAnsi="Arial Nova Light" w:cs="Arial"/>
          <w:b/>
          <w:bCs/>
          <w:sz w:val="24"/>
          <w:szCs w:val="24"/>
        </w:rPr>
      </w:pPr>
      <w:r w:rsidRPr="00126723">
        <w:rPr>
          <w:rFonts w:ascii="Arial Nova Light" w:hAnsi="Arial Nova Light" w:cs="Arial"/>
          <w:b/>
          <w:bCs/>
          <w:sz w:val="24"/>
          <w:szCs w:val="24"/>
        </w:rPr>
        <w:t xml:space="preserve"> </w:t>
      </w:r>
    </w:p>
    <w:p w14:paraId="4633A2FE" w14:textId="4E23B503" w:rsidR="009A54F1" w:rsidRPr="00126723" w:rsidRDefault="00497D2F" w:rsidP="00F26149">
      <w:pPr>
        <w:spacing w:after="0" w:line="360" w:lineRule="auto"/>
        <w:jc w:val="both"/>
        <w:rPr>
          <w:rFonts w:ascii="Arial Nova Light" w:hAnsi="Arial Nova Light"/>
          <w:sz w:val="24"/>
          <w:szCs w:val="24"/>
        </w:rPr>
      </w:pPr>
      <w:r w:rsidRPr="00126723">
        <w:rPr>
          <w:rFonts w:ascii="Arial Nova Light" w:hAnsi="Arial Nova Light"/>
          <w:b/>
          <w:bCs/>
          <w:sz w:val="24"/>
          <w:szCs w:val="24"/>
        </w:rPr>
        <w:lastRenderedPageBreak/>
        <w:t>ÚNICO</w:t>
      </w:r>
      <w:r w:rsidR="00F26149" w:rsidRPr="00126723">
        <w:rPr>
          <w:rFonts w:ascii="Arial Nova Light" w:hAnsi="Arial Nova Light"/>
          <w:sz w:val="24"/>
          <w:szCs w:val="24"/>
        </w:rPr>
        <w:t xml:space="preserve">. Se </w:t>
      </w:r>
      <w:r w:rsidRPr="00126723">
        <w:rPr>
          <w:rFonts w:ascii="Arial Nova Light" w:hAnsi="Arial Nova Light"/>
          <w:b/>
          <w:bCs/>
          <w:sz w:val="24"/>
          <w:szCs w:val="24"/>
        </w:rPr>
        <w:t xml:space="preserve">confirma </w:t>
      </w:r>
      <w:r w:rsidR="005E7A64">
        <w:rPr>
          <w:rFonts w:ascii="Arial Nova Light" w:hAnsi="Arial Nova Light"/>
          <w:b/>
          <w:bCs/>
          <w:sz w:val="24"/>
          <w:szCs w:val="24"/>
        </w:rPr>
        <w:t xml:space="preserve">por razones distintas </w:t>
      </w:r>
      <w:r w:rsidRPr="00126723">
        <w:rPr>
          <w:rFonts w:ascii="Arial Nova Light" w:hAnsi="Arial Nova Light"/>
          <w:sz w:val="24"/>
          <w:szCs w:val="24"/>
        </w:rPr>
        <w:t xml:space="preserve">el </w:t>
      </w:r>
      <w:r w:rsidR="00A974E4" w:rsidRPr="00126723">
        <w:rPr>
          <w:rFonts w:ascii="Arial Nova Light" w:hAnsi="Arial Nova Light"/>
          <w:sz w:val="24"/>
          <w:szCs w:val="24"/>
        </w:rPr>
        <w:t>“</w:t>
      </w:r>
      <w:r w:rsidR="00A974E4" w:rsidRPr="00126723">
        <w:rPr>
          <w:rFonts w:ascii="Arial Nova Light" w:hAnsi="Arial Nova Light"/>
          <w:b/>
          <w:bCs/>
          <w:sz w:val="24"/>
          <w:szCs w:val="24"/>
        </w:rPr>
        <w:t xml:space="preserve">Acuerdo </w:t>
      </w:r>
      <w:r w:rsidRPr="00126723">
        <w:rPr>
          <w:rFonts w:ascii="Arial Nova Light" w:hAnsi="Arial Nova Light"/>
          <w:b/>
          <w:bCs/>
          <w:sz w:val="24"/>
          <w:szCs w:val="24"/>
        </w:rPr>
        <w:t xml:space="preserve">de </w:t>
      </w:r>
      <w:r w:rsidR="00A974E4" w:rsidRPr="00126723">
        <w:rPr>
          <w:rFonts w:ascii="Arial Nova Light" w:hAnsi="Arial Nova Light"/>
          <w:b/>
          <w:bCs/>
          <w:sz w:val="24"/>
          <w:szCs w:val="24"/>
        </w:rPr>
        <w:t>Improcedencia</w:t>
      </w:r>
      <w:r w:rsidR="00A974E4" w:rsidRPr="00126723">
        <w:rPr>
          <w:rFonts w:ascii="Arial Nova Light" w:hAnsi="Arial Nova Light"/>
          <w:sz w:val="24"/>
          <w:szCs w:val="24"/>
        </w:rPr>
        <w:t xml:space="preserve">” dentro del expediente CNHJ-AGS-817/2021, </w:t>
      </w:r>
      <w:r w:rsidRPr="00126723">
        <w:rPr>
          <w:rFonts w:ascii="Arial Nova Light" w:hAnsi="Arial Nova Light"/>
          <w:sz w:val="24"/>
          <w:szCs w:val="24"/>
        </w:rPr>
        <w:t>dictado por la CNHJ en fecha doce de abril.</w:t>
      </w:r>
    </w:p>
    <w:p w14:paraId="02C2CCA2" w14:textId="77777777" w:rsidR="005C0835" w:rsidRPr="00126723" w:rsidRDefault="005C0835" w:rsidP="00F26149">
      <w:pPr>
        <w:spacing w:after="0" w:line="360" w:lineRule="auto"/>
        <w:jc w:val="both"/>
        <w:rPr>
          <w:rFonts w:ascii="Arial Nova Light" w:hAnsi="Arial Nova Light"/>
          <w:sz w:val="24"/>
          <w:szCs w:val="24"/>
        </w:rPr>
      </w:pPr>
    </w:p>
    <w:p w14:paraId="34CB1AB3" w14:textId="4DE83A5F" w:rsidR="005C0835" w:rsidRPr="00126723" w:rsidRDefault="005C0835" w:rsidP="00F26149">
      <w:pPr>
        <w:spacing w:after="0" w:line="360" w:lineRule="auto"/>
        <w:jc w:val="both"/>
        <w:rPr>
          <w:rFonts w:ascii="Arial Nova Light" w:hAnsi="Arial Nova Light"/>
          <w:sz w:val="24"/>
          <w:szCs w:val="24"/>
        </w:rPr>
      </w:pPr>
    </w:p>
    <w:p w14:paraId="4600CE3A" w14:textId="083CFD75" w:rsidR="009A54F1" w:rsidRPr="00126723" w:rsidRDefault="009A54F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r w:rsidRPr="00126723">
        <w:rPr>
          <w:rFonts w:ascii="Arial Nova Light" w:eastAsia="Arial Nova" w:hAnsi="Arial Nova Light" w:cs="Arial Nova"/>
          <w:b/>
          <w:sz w:val="24"/>
          <w:szCs w:val="24"/>
        </w:rPr>
        <w:t>NOTIFÍQUESE</w:t>
      </w:r>
      <w:r w:rsidR="006C1BF4" w:rsidRPr="00126723">
        <w:rPr>
          <w:rFonts w:ascii="Arial Nova Light" w:eastAsia="Arial Nova" w:hAnsi="Arial Nova Light" w:cs="Arial Nova"/>
          <w:b/>
          <w:sz w:val="24"/>
          <w:szCs w:val="24"/>
        </w:rPr>
        <w:t xml:space="preserve">. </w:t>
      </w:r>
      <w:r w:rsidR="006C1BF4" w:rsidRPr="00126723">
        <w:rPr>
          <w:rFonts w:ascii="Arial Nova Light" w:eastAsia="Arial Nova" w:hAnsi="Arial Nova Light" w:cs="Arial Nova"/>
          <w:bCs/>
          <w:sz w:val="24"/>
          <w:szCs w:val="24"/>
        </w:rPr>
        <w:t>C</w:t>
      </w:r>
      <w:r w:rsidRPr="00126723">
        <w:rPr>
          <w:rFonts w:ascii="Arial Nova Light" w:eastAsia="Arial Nova" w:hAnsi="Arial Nova Light" w:cs="Arial Nova"/>
          <w:bCs/>
          <w:sz w:val="24"/>
          <w:szCs w:val="24"/>
        </w:rPr>
        <w:t>o</w:t>
      </w:r>
      <w:r w:rsidRPr="00126723">
        <w:rPr>
          <w:rFonts w:ascii="Arial Nova Light" w:eastAsia="Arial Nova" w:hAnsi="Arial Nova Light" w:cs="Arial Nova"/>
          <w:sz w:val="24"/>
          <w:szCs w:val="24"/>
        </w:rPr>
        <w:t xml:space="preserve">mo en derecho proceda y en su oportunidad, archívese el presente expediente como asunto concluido. </w:t>
      </w:r>
    </w:p>
    <w:p w14:paraId="27F46CC0" w14:textId="77777777" w:rsidR="009A54F1" w:rsidRPr="00126723" w:rsidRDefault="009A54F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p>
    <w:p w14:paraId="66FCC7E1" w14:textId="14F6DC3E" w:rsidR="009A54F1" w:rsidRDefault="009A54F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r w:rsidRPr="00126723">
        <w:rPr>
          <w:rFonts w:ascii="Arial Nova Light" w:eastAsia="Arial Nova" w:hAnsi="Arial Nova Light" w:cs="Arial Nova"/>
          <w:sz w:val="24"/>
          <w:szCs w:val="24"/>
        </w:rPr>
        <w:t xml:space="preserve">Así lo resolvió el Tribunal Electoral del Estado de Aguascalientes, por </w:t>
      </w:r>
      <w:r w:rsidR="003A1B91">
        <w:rPr>
          <w:rFonts w:ascii="Arial Nova Light" w:eastAsia="Arial Nova" w:hAnsi="Arial Nova Light" w:cs="Arial Nova"/>
          <w:sz w:val="24"/>
          <w:szCs w:val="24"/>
        </w:rPr>
        <w:t>unanimidad</w:t>
      </w:r>
      <w:r w:rsidRPr="00126723">
        <w:rPr>
          <w:rFonts w:ascii="Arial Nova Light" w:eastAsia="Arial Nova" w:hAnsi="Arial Nova Light" w:cs="Arial Nova"/>
          <w:sz w:val="24"/>
          <w:szCs w:val="24"/>
        </w:rPr>
        <w:t xml:space="preserve"> de votos de la</w:t>
      </w:r>
      <w:r w:rsidR="006C1BF4" w:rsidRPr="00126723">
        <w:rPr>
          <w:rFonts w:ascii="Arial Nova Light" w:eastAsia="Arial Nova" w:hAnsi="Arial Nova Light" w:cs="Arial Nova"/>
          <w:sz w:val="24"/>
          <w:szCs w:val="24"/>
        </w:rPr>
        <w:t>s</w:t>
      </w:r>
      <w:r w:rsidRPr="00126723">
        <w:rPr>
          <w:rFonts w:ascii="Arial Nova Light" w:eastAsia="Arial Nova" w:hAnsi="Arial Nova Light" w:cs="Arial Nova"/>
          <w:sz w:val="24"/>
          <w:szCs w:val="24"/>
        </w:rPr>
        <w:t xml:space="preserve"> Magistrada</w:t>
      </w:r>
      <w:r w:rsidR="006C1BF4" w:rsidRPr="00126723">
        <w:rPr>
          <w:rFonts w:ascii="Arial Nova Light" w:eastAsia="Arial Nova" w:hAnsi="Arial Nova Light" w:cs="Arial Nova"/>
          <w:sz w:val="24"/>
          <w:szCs w:val="24"/>
        </w:rPr>
        <w:t>s</w:t>
      </w:r>
      <w:r w:rsidRPr="00126723">
        <w:rPr>
          <w:rFonts w:ascii="Arial Nova Light" w:eastAsia="Arial Nova" w:hAnsi="Arial Nova Light" w:cs="Arial Nova"/>
          <w:sz w:val="24"/>
          <w:szCs w:val="24"/>
        </w:rPr>
        <w:t xml:space="preserve"> y Magistrado que lo integran, ante el Secretario General de Acuerdos, quien autoriza y da fe.  </w:t>
      </w:r>
    </w:p>
    <w:p w14:paraId="5D6BF6A9" w14:textId="77777777" w:rsidR="003A1B91" w:rsidRPr="00126723" w:rsidRDefault="003A1B91" w:rsidP="009A54F1">
      <w:pPr>
        <w:pBdr>
          <w:top w:val="nil"/>
          <w:left w:val="nil"/>
          <w:bottom w:val="nil"/>
          <w:right w:val="nil"/>
          <w:between w:val="nil"/>
        </w:pBdr>
        <w:spacing w:after="0" w:line="360" w:lineRule="auto"/>
        <w:jc w:val="both"/>
        <w:rPr>
          <w:rFonts w:ascii="Arial Nova Light" w:eastAsia="Arial Nova" w:hAnsi="Arial Nova Light" w:cs="Arial Nova"/>
          <w:sz w:val="24"/>
          <w:szCs w:val="24"/>
        </w:rPr>
      </w:pP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71020D" w:rsidRPr="00222482" w14:paraId="0EC2E3E4" w14:textId="77777777" w:rsidTr="00751F60">
        <w:trPr>
          <w:trHeight w:val="2136"/>
        </w:trPr>
        <w:tc>
          <w:tcPr>
            <w:tcW w:w="9118" w:type="dxa"/>
            <w:gridSpan w:val="2"/>
          </w:tcPr>
          <w:p w14:paraId="7BEC4E9E" w14:textId="357822E6"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bookmarkStart w:id="8" w:name="_Hlk68778058"/>
            <w:r w:rsidRPr="00222482">
              <w:rPr>
                <w:rFonts w:ascii="Arial Nova Light" w:eastAsia="Arial Nova" w:hAnsi="Arial Nova Light" w:cs="Arial Nova"/>
                <w:b/>
                <w:sz w:val="24"/>
                <w:szCs w:val="24"/>
              </w:rPr>
              <w:t>MAGISTRADA PRESIDENTA</w:t>
            </w:r>
          </w:p>
          <w:p w14:paraId="33910E17"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5ED66A96"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62C3DB59"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CLAUDIA ELOISA DÍAZ DE LEÓN GONZÁLEZ</w:t>
            </w:r>
          </w:p>
        </w:tc>
      </w:tr>
      <w:tr w:rsidR="0071020D" w:rsidRPr="00222482" w14:paraId="0CD767F0" w14:textId="77777777" w:rsidTr="00751F60">
        <w:tc>
          <w:tcPr>
            <w:tcW w:w="4558" w:type="dxa"/>
          </w:tcPr>
          <w:p w14:paraId="65AD4D49" w14:textId="77777777" w:rsidR="0071020D"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447AD0D8" w14:textId="64D73F22"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MAGISTRADA</w:t>
            </w:r>
          </w:p>
          <w:p w14:paraId="36AADAD1"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5399506D"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LAURA HORTENSIA </w:t>
            </w:r>
          </w:p>
          <w:p w14:paraId="3BAF50E5"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LLAMAS HERNÁNDEZ</w:t>
            </w:r>
          </w:p>
        </w:tc>
        <w:tc>
          <w:tcPr>
            <w:tcW w:w="4560" w:type="dxa"/>
          </w:tcPr>
          <w:p w14:paraId="4FBF3F3A" w14:textId="309DEC1F" w:rsidR="0071020D"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76E96C55"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MAGISTRADO</w:t>
            </w:r>
          </w:p>
          <w:p w14:paraId="73EDF808"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B512E31"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HÉCTOR SALVADOR </w:t>
            </w:r>
          </w:p>
          <w:p w14:paraId="4465B4D7"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HERNÁNDEZ GALLEGOS</w:t>
            </w:r>
          </w:p>
        </w:tc>
      </w:tr>
      <w:tr w:rsidR="0071020D" w:rsidRPr="00222482" w14:paraId="3343CFFF" w14:textId="77777777" w:rsidTr="00751F60">
        <w:tc>
          <w:tcPr>
            <w:tcW w:w="9118" w:type="dxa"/>
            <w:gridSpan w:val="2"/>
          </w:tcPr>
          <w:p w14:paraId="3EBB0EC5" w14:textId="310D432F" w:rsidR="0071020D"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29327854"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103F036A"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SECRETARIO GENERAL DE ACUERDOS</w:t>
            </w:r>
          </w:p>
          <w:p w14:paraId="5C72A544"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353AFE8A" w14:textId="77777777" w:rsidR="0071020D" w:rsidRPr="00222482" w:rsidRDefault="0071020D" w:rsidP="00751F60">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JESÚS OCIEL BAENA SUCEDO</w:t>
            </w:r>
          </w:p>
        </w:tc>
      </w:tr>
      <w:bookmarkEnd w:id="8"/>
    </w:tbl>
    <w:p w14:paraId="05BA72DE" w14:textId="12F7F8DD" w:rsidR="00D42224" w:rsidRDefault="00D42224">
      <w:pPr>
        <w:rPr>
          <w:rFonts w:ascii="Arial Nova Light" w:hAnsi="Arial Nova Light"/>
          <w:sz w:val="24"/>
          <w:szCs w:val="24"/>
        </w:rPr>
      </w:pPr>
    </w:p>
    <w:p w14:paraId="4E12EF61" w14:textId="3450300E" w:rsidR="00E90E6B" w:rsidRDefault="00E90E6B" w:rsidP="00E90E6B">
      <w:pPr>
        <w:jc w:val="both"/>
        <w:rPr>
          <w:rFonts w:ascii="Arial Nova Light" w:hAnsi="Arial Nova Light"/>
          <w:sz w:val="24"/>
          <w:szCs w:val="24"/>
        </w:rPr>
      </w:pPr>
      <w:r w:rsidRPr="00E90E6B">
        <w:rPr>
          <w:rFonts w:ascii="Arial Nova Light" w:hAnsi="Arial Nova Light"/>
          <w:sz w:val="24"/>
          <w:szCs w:val="24"/>
        </w:rPr>
        <w:t xml:space="preserve">El suscrito </w:t>
      </w:r>
      <w:r>
        <w:rPr>
          <w:rFonts w:ascii="Arial Nova Light" w:hAnsi="Arial Nova Light"/>
          <w:sz w:val="24"/>
          <w:szCs w:val="24"/>
        </w:rPr>
        <w:t>Maestro</w:t>
      </w:r>
      <w:r w:rsidRPr="00E90E6B">
        <w:rPr>
          <w:rFonts w:ascii="Arial Nova Light" w:hAnsi="Arial Nova Light"/>
          <w:sz w:val="24"/>
          <w:szCs w:val="24"/>
        </w:rPr>
        <w:t xml:space="preserve"> Jesús Ociel Baena Saucedo, Secretario General de Acuerdos del Tribunal Electoral del Estado de Aguascalientes, en ejercicio de las facultades que me confiere el artículo 28, del Reglamento Interior del Tribunal Electoral del Estado de Aguascalientes, hago constar que las firmas que obran en la presente página, corresponden a la sentencia definitiva emitida por el Pleno del Tribunal Electoral del Estado de Aguascalientes, dictada el </w:t>
      </w:r>
      <w:r w:rsidR="000E0C39">
        <w:rPr>
          <w:rFonts w:ascii="Arial Nova Light" w:hAnsi="Arial Nova Light"/>
          <w:sz w:val="24"/>
          <w:szCs w:val="24"/>
        </w:rPr>
        <w:t>veintitrés de</w:t>
      </w:r>
      <w:r w:rsidRPr="00E90E6B">
        <w:rPr>
          <w:rFonts w:ascii="Arial Nova Light" w:hAnsi="Arial Nova Light"/>
          <w:sz w:val="24"/>
          <w:szCs w:val="24"/>
        </w:rPr>
        <w:t xml:space="preserve"> abril de dos mil </w:t>
      </w:r>
      <w:r w:rsidR="000E0C39">
        <w:rPr>
          <w:rFonts w:ascii="Arial Nova Light" w:hAnsi="Arial Nova Light"/>
          <w:sz w:val="24"/>
          <w:szCs w:val="24"/>
        </w:rPr>
        <w:t>veintiuno</w:t>
      </w:r>
      <w:r w:rsidRPr="00E90E6B">
        <w:rPr>
          <w:rFonts w:ascii="Arial Nova Light" w:hAnsi="Arial Nova Light"/>
          <w:sz w:val="24"/>
          <w:szCs w:val="24"/>
        </w:rPr>
        <w:t xml:space="preserve">, dentro del </w:t>
      </w:r>
      <w:r w:rsidR="000E0C39">
        <w:rPr>
          <w:rFonts w:ascii="Arial Nova Light" w:hAnsi="Arial Nova Light"/>
          <w:sz w:val="24"/>
          <w:szCs w:val="24"/>
        </w:rPr>
        <w:t>Juicio para la Protección de los Derechos Político-</w:t>
      </w:r>
      <w:r w:rsidR="000E0C39">
        <w:rPr>
          <w:rFonts w:ascii="Arial Nova Light" w:hAnsi="Arial Nova Light"/>
          <w:sz w:val="24"/>
          <w:szCs w:val="24"/>
        </w:rPr>
        <w:lastRenderedPageBreak/>
        <w:t xml:space="preserve">Electorales del Ciudadano </w:t>
      </w:r>
      <w:r w:rsidRPr="00E90E6B">
        <w:rPr>
          <w:rFonts w:ascii="Arial Nova Light" w:hAnsi="Arial Nova Light"/>
          <w:sz w:val="24"/>
          <w:szCs w:val="24"/>
        </w:rPr>
        <w:t>identificado con la clave TEEA-</w:t>
      </w:r>
      <w:r w:rsidR="000E0C39">
        <w:rPr>
          <w:rFonts w:ascii="Arial Nova Light" w:hAnsi="Arial Nova Light"/>
          <w:sz w:val="24"/>
          <w:szCs w:val="24"/>
        </w:rPr>
        <w:t>JDC</w:t>
      </w:r>
      <w:r w:rsidRPr="00E90E6B">
        <w:rPr>
          <w:rFonts w:ascii="Arial Nova Light" w:hAnsi="Arial Nova Light"/>
          <w:sz w:val="24"/>
          <w:szCs w:val="24"/>
        </w:rPr>
        <w:t>-</w:t>
      </w:r>
      <w:r w:rsidR="000E0C39">
        <w:rPr>
          <w:rFonts w:ascii="Arial Nova Light" w:hAnsi="Arial Nova Light"/>
          <w:sz w:val="24"/>
          <w:szCs w:val="24"/>
        </w:rPr>
        <w:t>105/2021</w:t>
      </w:r>
      <w:r w:rsidRPr="00E90E6B">
        <w:rPr>
          <w:rFonts w:ascii="Arial Nova Light" w:hAnsi="Arial Nova Light"/>
          <w:sz w:val="24"/>
          <w:szCs w:val="24"/>
        </w:rPr>
        <w:t xml:space="preserve"> y</w:t>
      </w:r>
      <w:r w:rsidR="000E0C39">
        <w:rPr>
          <w:rFonts w:ascii="Arial Nova Light" w:hAnsi="Arial Nova Light"/>
          <w:sz w:val="24"/>
          <w:szCs w:val="24"/>
        </w:rPr>
        <w:t xml:space="preserve"> sus</w:t>
      </w:r>
      <w:r w:rsidRPr="00E90E6B">
        <w:rPr>
          <w:rFonts w:ascii="Arial Nova Light" w:hAnsi="Arial Nova Light"/>
          <w:sz w:val="24"/>
          <w:szCs w:val="24"/>
        </w:rPr>
        <w:t xml:space="preserve"> acumulado</w:t>
      </w:r>
      <w:r w:rsidR="000E0C39">
        <w:rPr>
          <w:rFonts w:ascii="Arial Nova Light" w:hAnsi="Arial Nova Light"/>
          <w:sz w:val="24"/>
          <w:szCs w:val="24"/>
        </w:rPr>
        <w:t>s</w:t>
      </w:r>
      <w:r w:rsidRPr="00E90E6B">
        <w:rPr>
          <w:rFonts w:ascii="Arial Nova Light" w:hAnsi="Arial Nova Light"/>
          <w:sz w:val="24"/>
          <w:szCs w:val="24"/>
        </w:rPr>
        <w:t>; el cual consta de quince páginas, incluida la presente. Conste.</w:t>
      </w:r>
    </w:p>
    <w:p w14:paraId="3DCD2E65" w14:textId="77777777" w:rsidR="003A1B91" w:rsidRPr="00126723" w:rsidRDefault="003A1B91">
      <w:pPr>
        <w:rPr>
          <w:rFonts w:ascii="Arial Nova Light" w:hAnsi="Arial Nova Light"/>
          <w:sz w:val="24"/>
          <w:szCs w:val="24"/>
        </w:rPr>
      </w:pPr>
    </w:p>
    <w:sectPr w:rsidR="003A1B91" w:rsidRPr="00126723" w:rsidSect="008F1DE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20160" w:code="5"/>
      <w:pgMar w:top="2410" w:right="1325"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3280" w14:textId="77777777" w:rsidR="00B735E9" w:rsidRDefault="00B735E9" w:rsidP="009A54F1">
      <w:pPr>
        <w:spacing w:after="0" w:line="240" w:lineRule="auto"/>
      </w:pPr>
      <w:r>
        <w:separator/>
      </w:r>
    </w:p>
  </w:endnote>
  <w:endnote w:type="continuationSeparator" w:id="0">
    <w:p w14:paraId="40A8AC43" w14:textId="77777777" w:rsidR="00B735E9" w:rsidRDefault="00B735E9" w:rsidP="009A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Dubai Medium">
    <w:panose1 w:val="020B0603030403030204"/>
    <w:charset w:val="00"/>
    <w:family w:val="swiss"/>
    <w:pitch w:val="variable"/>
    <w:sig w:usb0="80002067"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EE01" w14:textId="77777777" w:rsidR="000049A0" w:rsidRDefault="000049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BAE1" w14:textId="77777777" w:rsidR="000049A0" w:rsidRDefault="000049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EB6D" w14:textId="77777777" w:rsidR="000049A0" w:rsidRDefault="000049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DE60" w14:textId="77777777" w:rsidR="00B735E9" w:rsidRDefault="00B735E9" w:rsidP="009A54F1">
      <w:pPr>
        <w:spacing w:after="0" w:line="240" w:lineRule="auto"/>
      </w:pPr>
      <w:r>
        <w:separator/>
      </w:r>
    </w:p>
  </w:footnote>
  <w:footnote w:type="continuationSeparator" w:id="0">
    <w:p w14:paraId="1635A2D1" w14:textId="77777777" w:rsidR="00B735E9" w:rsidRDefault="00B735E9" w:rsidP="009A54F1">
      <w:pPr>
        <w:spacing w:after="0" w:line="240" w:lineRule="auto"/>
      </w:pPr>
      <w:r>
        <w:continuationSeparator/>
      </w:r>
    </w:p>
  </w:footnote>
  <w:footnote w:id="1">
    <w:p w14:paraId="434FEC0B" w14:textId="4675CADA" w:rsidR="00566D05" w:rsidRPr="00DE6425" w:rsidRDefault="00566D05" w:rsidP="00DE6425">
      <w:pPr>
        <w:pStyle w:val="Textonotapie"/>
        <w:jc w:val="both"/>
        <w:rPr>
          <w:rFonts w:ascii="Arial Nova Light" w:hAnsi="Arial Nova Light" w:cs="Arial"/>
          <w:sz w:val="16"/>
          <w:szCs w:val="16"/>
        </w:rPr>
      </w:pPr>
      <w:r w:rsidRPr="00DE6425">
        <w:rPr>
          <w:rStyle w:val="Refdenotaalpie"/>
          <w:rFonts w:ascii="Arial Nova Light" w:hAnsi="Arial Nova Light" w:cs="Arial"/>
          <w:sz w:val="16"/>
          <w:szCs w:val="16"/>
        </w:rPr>
        <w:footnoteRef/>
      </w:r>
      <w:r w:rsidRPr="00DE6425">
        <w:rPr>
          <w:rFonts w:ascii="Arial Nova Light" w:hAnsi="Arial Nova Light" w:cs="Arial"/>
          <w:sz w:val="16"/>
          <w:szCs w:val="16"/>
        </w:rPr>
        <w:t xml:space="preserve"> “CONVOCATORIA A LOS PROCESOS ELECTORALES INTERNOS PARA LA SELECCIÓN DE CANDIDATURAS PARA: DIPUTACIONES AL CONGRESO LOCAL A ELEGIRSE POR EL PRINCIPIO DE </w:t>
      </w:r>
      <w:r w:rsidR="00DE6425" w:rsidRPr="00DE6425">
        <w:rPr>
          <w:rFonts w:ascii="Arial Nova Light" w:hAnsi="Arial Nova Light" w:cs="Arial"/>
          <w:sz w:val="16"/>
          <w:szCs w:val="16"/>
        </w:rPr>
        <w:t>MAYORÍA</w:t>
      </w:r>
      <w:r w:rsidRPr="00DE6425">
        <w:rPr>
          <w:rFonts w:ascii="Arial Nova Light" w:hAnsi="Arial Nova Light" w:cs="Arial"/>
          <w:sz w:val="16"/>
          <w:szCs w:val="16"/>
        </w:rPr>
        <w:t xml:space="preserve"> RELATIVA Y REPRESENTACIÓN PROPORCIONAL; Y MIEMBROS DE </w:t>
      </w:r>
      <w:r w:rsidR="00DE6425" w:rsidRPr="00DE6425">
        <w:rPr>
          <w:rFonts w:ascii="Arial Nova Light" w:hAnsi="Arial Nova Light" w:cs="Arial"/>
          <w:sz w:val="16"/>
          <w:szCs w:val="16"/>
        </w:rPr>
        <w:t>LOS</w:t>
      </w:r>
      <w:r w:rsidRPr="00DE6425">
        <w:rPr>
          <w:rFonts w:ascii="Arial Nova Light" w:hAnsi="Arial Nova Light" w:cs="Arial"/>
          <w:sz w:val="16"/>
          <w:szCs w:val="16"/>
        </w:rPr>
        <w:t xml:space="preserve"> AYUNTAMIENTOS DE ELECCIÓN POPULAR DIRECTA Y EN SU CASO MIEMBROS DE LAS </w:t>
      </w:r>
      <w:r w:rsidR="00DE6425" w:rsidRPr="00DE6425">
        <w:rPr>
          <w:rFonts w:ascii="Arial Nova Light" w:hAnsi="Arial Nova Light" w:cs="Arial"/>
          <w:sz w:val="16"/>
          <w:szCs w:val="16"/>
        </w:rPr>
        <w:t>ALCALDÍAS</w:t>
      </w:r>
      <w:r w:rsidRPr="00DE6425">
        <w:rPr>
          <w:rFonts w:ascii="Arial Nova Light" w:hAnsi="Arial Nova Light" w:cs="Arial"/>
          <w:sz w:val="16"/>
          <w:szCs w:val="16"/>
        </w:rPr>
        <w:t xml:space="preserve"> Y </w:t>
      </w:r>
      <w:r w:rsidR="00DE6425" w:rsidRPr="00DE6425">
        <w:rPr>
          <w:rFonts w:ascii="Arial Nova Light" w:hAnsi="Arial Nova Light" w:cs="Arial"/>
          <w:sz w:val="16"/>
          <w:szCs w:val="16"/>
        </w:rPr>
        <w:t>CONCEJALÍAS</w:t>
      </w:r>
      <w:r w:rsidRPr="00DE6425">
        <w:rPr>
          <w:rFonts w:ascii="Arial Nova Light" w:hAnsi="Arial Nova Light" w:cs="Arial"/>
          <w:sz w:val="16"/>
          <w:szCs w:val="16"/>
        </w:rPr>
        <w:t xml:space="preserve"> PARA LOS PROCESOS ELECTORALES 2020-2021 EN LAS ENTIDADES FEDERATIVAS DE AGUASCALIENTES…”</w:t>
      </w:r>
    </w:p>
  </w:footnote>
  <w:footnote w:id="2">
    <w:p w14:paraId="3BD80F2E" w14:textId="77777777" w:rsidR="00566D05" w:rsidRPr="00DE6425" w:rsidRDefault="00566D05" w:rsidP="00DE6425">
      <w:pPr>
        <w:pStyle w:val="Textonotapie"/>
        <w:jc w:val="both"/>
        <w:rPr>
          <w:rFonts w:ascii="Arial Nova Light" w:hAnsi="Arial Nova Light"/>
          <w:sz w:val="16"/>
          <w:szCs w:val="16"/>
        </w:rPr>
      </w:pPr>
      <w:r w:rsidRPr="00DE6425">
        <w:rPr>
          <w:rStyle w:val="Refdenotaalpie"/>
          <w:rFonts w:ascii="Arial Nova Light" w:hAnsi="Arial Nova Light"/>
          <w:sz w:val="16"/>
          <w:szCs w:val="16"/>
        </w:rPr>
        <w:footnoteRef/>
      </w:r>
      <w:r w:rsidRPr="00DE6425">
        <w:rPr>
          <w:rFonts w:ascii="Arial Nova Light" w:hAnsi="Arial Nova Light"/>
          <w:sz w:val="16"/>
          <w:szCs w:val="16"/>
        </w:rPr>
        <w:t xml:space="preserve"> Mediante el acuerdo identificado con la clave CG-A-28/2020.</w:t>
      </w:r>
    </w:p>
  </w:footnote>
  <w:footnote w:id="3">
    <w:p w14:paraId="45FC6861" w14:textId="77777777" w:rsidR="00566D05" w:rsidRPr="00DE6425" w:rsidRDefault="00566D05" w:rsidP="00DE6425">
      <w:pPr>
        <w:pBdr>
          <w:top w:val="nil"/>
          <w:left w:val="nil"/>
          <w:bottom w:val="nil"/>
          <w:right w:val="nil"/>
          <w:between w:val="nil"/>
        </w:pBdr>
        <w:spacing w:after="0" w:line="240" w:lineRule="auto"/>
        <w:jc w:val="both"/>
        <w:rPr>
          <w:rFonts w:ascii="Arial Nova Light" w:eastAsia="Arial Nova" w:hAnsi="Arial Nova Light" w:cs="Arial Nova"/>
          <w:color w:val="000000"/>
          <w:sz w:val="16"/>
          <w:szCs w:val="16"/>
        </w:rPr>
      </w:pPr>
      <w:r w:rsidRPr="00DE6425">
        <w:rPr>
          <w:rFonts w:ascii="Arial Nova Light" w:hAnsi="Arial Nova Light"/>
          <w:sz w:val="16"/>
          <w:szCs w:val="16"/>
          <w:vertAlign w:val="superscript"/>
        </w:rPr>
        <w:footnoteRef/>
      </w:r>
      <w:r w:rsidRPr="00DE6425">
        <w:rPr>
          <w:rFonts w:ascii="Arial Nova Light" w:eastAsia="Arial Nova" w:hAnsi="Arial Nova Light" w:cs="Arial Nova"/>
          <w:color w:val="000000"/>
          <w:sz w:val="16"/>
          <w:szCs w:val="16"/>
        </w:rPr>
        <w:t xml:space="preserve"> Jurisprudencia 2/2004. De Rubro ACUMULACIÓN. NO CONFIGURA LA ADQUISICIÓN PROCESAL DE LAS PRETENSIONES. Disponible para consulta en la URL: </w:t>
      </w:r>
      <w:hyperlink r:id="rId1">
        <w:r w:rsidRPr="00DE6425">
          <w:rPr>
            <w:rFonts w:ascii="Arial Nova Light" w:eastAsia="Arial Nova" w:hAnsi="Arial Nova Light" w:cs="Arial Nova"/>
            <w:color w:val="0000FF"/>
            <w:sz w:val="16"/>
            <w:szCs w:val="16"/>
            <w:u w:val="single"/>
          </w:rPr>
          <w:t>https://mexico.justia.com/federales/jurisprudencias-tesis/Tribunal-electoral/jurisprudencia-2-2004/</w:t>
        </w:r>
      </w:hyperlink>
      <w:r w:rsidRPr="00DE6425">
        <w:rPr>
          <w:rFonts w:ascii="Arial Nova Light" w:eastAsia="Arial Nova" w:hAnsi="Arial Nova Light" w:cs="Arial Nova"/>
          <w:color w:val="000000"/>
          <w:sz w:val="16"/>
          <w:szCs w:val="16"/>
        </w:rPr>
        <w:t xml:space="preserve"> </w:t>
      </w:r>
    </w:p>
  </w:footnote>
  <w:footnote w:id="4">
    <w:p w14:paraId="7A2E0CBC" w14:textId="77777777" w:rsidR="00566D05" w:rsidRPr="00DE6425" w:rsidRDefault="00566D05" w:rsidP="00DE6425">
      <w:pPr>
        <w:pBdr>
          <w:top w:val="nil"/>
          <w:left w:val="nil"/>
          <w:bottom w:val="nil"/>
          <w:right w:val="nil"/>
          <w:between w:val="nil"/>
        </w:pBdr>
        <w:spacing w:after="0" w:line="240" w:lineRule="auto"/>
        <w:jc w:val="both"/>
        <w:rPr>
          <w:rFonts w:ascii="Arial Nova Light" w:eastAsia="Arial Nova" w:hAnsi="Arial Nova Light" w:cs="Arial Nova"/>
          <w:color w:val="000000"/>
          <w:sz w:val="16"/>
          <w:szCs w:val="16"/>
        </w:rPr>
      </w:pPr>
      <w:r w:rsidRPr="00DE6425">
        <w:rPr>
          <w:rFonts w:ascii="Arial Nova Light" w:hAnsi="Arial Nova Light"/>
          <w:sz w:val="16"/>
          <w:szCs w:val="16"/>
          <w:vertAlign w:val="superscript"/>
        </w:rPr>
        <w:footnoteRef/>
      </w:r>
      <w:r w:rsidRPr="00DE6425">
        <w:rPr>
          <w:rFonts w:ascii="Arial Nova Light" w:eastAsia="Arial Nova" w:hAnsi="Arial Nova Light" w:cs="Arial Nova"/>
          <w:color w:val="000000"/>
          <w:sz w:val="16"/>
          <w:szCs w:val="16"/>
        </w:rPr>
        <w:t xml:space="preserve"> Jurisprudencia 2a./J. 58/2010. CONCEPTOS DE VIOLACIÓN O AGRAVIOS. PARA CUMPLIR CON LOS PRINCIPIOS DE CONGRUENCIA Y EXHAUSTIVIDAD EN LAS SENTENCIAS DE AMPARO ES INNECESARIA SU TRANSCRIPCIÓN. Consultable en la URL: </w:t>
      </w:r>
      <w:hyperlink r:id="rId2">
        <w:r w:rsidRPr="00DE6425">
          <w:rPr>
            <w:rFonts w:ascii="Arial Nova Light" w:eastAsia="Arial Nova" w:hAnsi="Arial Nova Light" w:cs="Arial Nova"/>
            <w:color w:val="0000FF"/>
            <w:sz w:val="16"/>
            <w:szCs w:val="16"/>
            <w:u w:val="single"/>
          </w:rPr>
          <w:t>https://sjf.scjn.gob.mx/sjfsist/Paginas/DetalleGeneralV2.aspx?Clase=DetalleTesisBL&amp;ID=164618&amp;Semanario=0</w:t>
        </w:r>
      </w:hyperlink>
      <w:r w:rsidRPr="00DE6425">
        <w:rPr>
          <w:rFonts w:ascii="Arial Nova Light" w:eastAsia="Arial Nova" w:hAnsi="Arial Nova Light" w:cs="Arial Nova"/>
          <w:color w:val="000000"/>
          <w:sz w:val="16"/>
          <w:szCs w:val="16"/>
        </w:rPr>
        <w:t xml:space="preserve"> </w:t>
      </w:r>
    </w:p>
  </w:footnote>
  <w:footnote w:id="5">
    <w:p w14:paraId="53AB87C0" w14:textId="77777777" w:rsidR="00566D05" w:rsidRPr="00DE6425" w:rsidRDefault="00566D05" w:rsidP="00DE6425">
      <w:pPr>
        <w:pStyle w:val="Textonotapie"/>
        <w:jc w:val="both"/>
        <w:rPr>
          <w:rFonts w:ascii="Arial Nova Light" w:hAnsi="Arial Nova Light" w:cs="Arial"/>
          <w:sz w:val="16"/>
          <w:szCs w:val="16"/>
        </w:rPr>
      </w:pPr>
      <w:r w:rsidRPr="00DE6425">
        <w:rPr>
          <w:rStyle w:val="Refdenotaalpie"/>
          <w:rFonts w:ascii="Arial Nova Light" w:hAnsi="Arial Nova Light" w:cs="Arial"/>
          <w:sz w:val="16"/>
          <w:szCs w:val="16"/>
        </w:rPr>
        <w:footnoteRef/>
      </w:r>
      <w:r w:rsidRPr="00DE6425">
        <w:rPr>
          <w:rFonts w:ascii="Arial Nova Light" w:hAnsi="Arial Nova Light" w:cs="Arial"/>
          <w:sz w:val="16"/>
          <w:szCs w:val="16"/>
        </w:rPr>
        <w:t xml:space="preserve"> Visible</w:t>
      </w:r>
      <w:r w:rsidRPr="00DE6425">
        <w:rPr>
          <w:rFonts w:ascii="Arial Nova Light" w:hAnsi="Arial Nova Light" w:cs="Arial"/>
          <w:bCs/>
          <w:sz w:val="16"/>
          <w:szCs w:val="16"/>
        </w:rPr>
        <w:t xml:space="preserve"> a fojas 117 a 118, del Volumen 1, de la citada Compilación de Jurisprudencia y Tesis en la Materia.</w:t>
      </w:r>
    </w:p>
  </w:footnote>
  <w:footnote w:id="6">
    <w:p w14:paraId="7683A989" w14:textId="3BDECB56" w:rsidR="00566D05" w:rsidRPr="00DE6425" w:rsidRDefault="00566D05" w:rsidP="00DE6425">
      <w:pPr>
        <w:pStyle w:val="Textonotapie"/>
        <w:jc w:val="both"/>
        <w:rPr>
          <w:rFonts w:ascii="Arial Nova Light" w:hAnsi="Arial Nova Light"/>
          <w:sz w:val="16"/>
          <w:szCs w:val="16"/>
        </w:rPr>
      </w:pPr>
      <w:r w:rsidRPr="00DE6425">
        <w:rPr>
          <w:rStyle w:val="Refdenotaalpie"/>
          <w:rFonts w:ascii="Arial Nova Light" w:hAnsi="Arial Nova Light" w:cs="Arial"/>
          <w:sz w:val="16"/>
          <w:szCs w:val="16"/>
        </w:rPr>
        <w:footnoteRef/>
      </w:r>
      <w:r w:rsidRPr="00DE6425">
        <w:rPr>
          <w:rFonts w:ascii="Arial Nova Light" w:hAnsi="Arial Nova Light" w:cs="Arial"/>
          <w:sz w:val="16"/>
          <w:szCs w:val="16"/>
        </w:rPr>
        <w:t xml:space="preserve"> Consultable en el Semanario Judicial de la Federación, Tomo XXXIII, </w:t>
      </w:r>
      <w:r w:rsidR="00DE6425" w:rsidRPr="00DE6425">
        <w:rPr>
          <w:rFonts w:ascii="Arial Nova Light" w:hAnsi="Arial Nova Light" w:cs="Arial"/>
          <w:sz w:val="16"/>
          <w:szCs w:val="16"/>
        </w:rPr>
        <w:t>abril</w:t>
      </w:r>
      <w:r w:rsidRPr="00DE6425">
        <w:rPr>
          <w:rFonts w:ascii="Arial Nova Light" w:hAnsi="Arial Nova Light" w:cs="Arial"/>
          <w:sz w:val="16"/>
          <w:szCs w:val="16"/>
        </w:rPr>
        <w:t xml:space="preserve"> de 2011, página 1299.</w:t>
      </w:r>
    </w:p>
  </w:footnote>
  <w:footnote w:id="7">
    <w:p w14:paraId="340BF657" w14:textId="77777777" w:rsidR="00566D05" w:rsidRPr="00DE6425" w:rsidRDefault="00566D05" w:rsidP="00DE6425">
      <w:pPr>
        <w:pBdr>
          <w:top w:val="nil"/>
          <w:left w:val="nil"/>
          <w:bottom w:val="nil"/>
          <w:right w:val="nil"/>
          <w:between w:val="nil"/>
        </w:pBdr>
        <w:spacing w:after="0" w:line="240" w:lineRule="auto"/>
        <w:jc w:val="both"/>
        <w:rPr>
          <w:rFonts w:ascii="Arial Nova Light" w:eastAsia="Arial Nova" w:hAnsi="Arial Nova Light" w:cs="Arial Nova"/>
          <w:color w:val="000000"/>
          <w:sz w:val="16"/>
          <w:szCs w:val="16"/>
        </w:rPr>
      </w:pPr>
      <w:r w:rsidRPr="00DE6425">
        <w:rPr>
          <w:rFonts w:ascii="Arial Nova Light" w:hAnsi="Arial Nova Light"/>
          <w:sz w:val="16"/>
          <w:szCs w:val="16"/>
          <w:vertAlign w:val="superscript"/>
        </w:rPr>
        <w:footnoteRef/>
      </w:r>
      <w:r w:rsidRPr="00DE6425">
        <w:rPr>
          <w:rFonts w:ascii="Arial Nova Light" w:eastAsia="Arial Nova" w:hAnsi="Arial Nova Light" w:cs="Arial Nova"/>
          <w:color w:val="000000"/>
          <w:sz w:val="16"/>
          <w:szCs w:val="16"/>
        </w:rPr>
        <w:t xml:space="preserve"> jurisprudencia 4/2000, cuyo rubro es: "AGRAVIOS, SU EXAMEN EN CONJUNTO O SEPARADO, NO CAUSA LESIÓN", disponible para consulta en </w:t>
      </w:r>
      <w:hyperlink r:id="rId3">
        <w:r w:rsidRPr="00DE6425">
          <w:rPr>
            <w:rFonts w:ascii="Arial Nova Light" w:eastAsia="Arial Nova" w:hAnsi="Arial Nova Light" w:cs="Arial Nova"/>
            <w:color w:val="0000FF"/>
            <w:sz w:val="16"/>
            <w:szCs w:val="16"/>
            <w:u w:val="single"/>
          </w:rPr>
          <w:t>https://www.te.gob.mx/IUSEapp/tesisjur.aspx?idtesis=4/2000&amp;tpoBusqueda=S&amp;sWord=AGRAVIOS,,SU,EXAMEN,EN,CONJUNTO,O,SEPARADO,,NO,CAUSA,LESI%c3%93N</w:t>
        </w:r>
      </w:hyperlink>
      <w:r w:rsidRPr="00DE6425">
        <w:rPr>
          <w:rFonts w:ascii="Arial Nova Light" w:eastAsia="Arial Nova" w:hAnsi="Arial Nova Light" w:cs="Arial Nova"/>
          <w:color w:val="000000"/>
          <w:sz w:val="16"/>
          <w:szCs w:val="16"/>
        </w:rPr>
        <w:t xml:space="preserve"> </w:t>
      </w:r>
    </w:p>
  </w:footnote>
  <w:footnote w:id="8">
    <w:p w14:paraId="49F62DF6" w14:textId="77777777" w:rsidR="00566D05" w:rsidRPr="00DE6425" w:rsidRDefault="00566D05" w:rsidP="00DE6425">
      <w:pPr>
        <w:pBdr>
          <w:top w:val="nil"/>
          <w:left w:val="nil"/>
          <w:bottom w:val="nil"/>
          <w:right w:val="nil"/>
          <w:between w:val="nil"/>
        </w:pBdr>
        <w:spacing w:after="0" w:line="240" w:lineRule="auto"/>
        <w:jc w:val="both"/>
        <w:rPr>
          <w:rFonts w:ascii="Arial Nova Light" w:hAnsi="Arial Nova Light"/>
          <w:color w:val="000000"/>
          <w:sz w:val="16"/>
          <w:szCs w:val="16"/>
        </w:rPr>
      </w:pPr>
      <w:r w:rsidRPr="00DE6425">
        <w:rPr>
          <w:rFonts w:ascii="Arial Nova Light" w:hAnsi="Arial Nova Light"/>
          <w:sz w:val="16"/>
          <w:szCs w:val="16"/>
          <w:vertAlign w:val="superscript"/>
        </w:rPr>
        <w:footnoteRef/>
      </w:r>
      <w:r w:rsidRPr="00DE6425">
        <w:rPr>
          <w:rFonts w:ascii="Arial Nova Light" w:hAnsi="Arial Nova Light"/>
          <w:color w:val="000000"/>
          <w:sz w:val="16"/>
          <w:szCs w:val="16"/>
        </w:rPr>
        <w:t xml:space="preserve"> </w:t>
      </w:r>
      <w:r w:rsidRPr="00DE6425">
        <w:rPr>
          <w:rFonts w:ascii="Arial Nova Light" w:eastAsia="Arial Nova" w:hAnsi="Arial Nova Light" w:cs="Arial Nova"/>
          <w:color w:val="000000"/>
          <w:sz w:val="16"/>
          <w:szCs w:val="16"/>
        </w:rPr>
        <w:t xml:space="preserve">Tesis: I.3o.C.109 K, </w:t>
      </w:r>
      <w:r w:rsidRPr="00DE6425">
        <w:rPr>
          <w:rFonts w:ascii="Arial Nova Light" w:eastAsia="Arial Nova" w:hAnsi="Arial Nova Light" w:cs="Arial Nova"/>
          <w:b/>
          <w:color w:val="212529"/>
          <w:sz w:val="16"/>
          <w:szCs w:val="16"/>
        </w:rPr>
        <w:t>DEMANDA.</w:t>
      </w:r>
      <w:r w:rsidRPr="00DE6425">
        <w:rPr>
          <w:rFonts w:ascii="Arial Nova Light" w:eastAsia="Arial Nova" w:hAnsi="Arial Nova Light" w:cs="Arial Nova"/>
          <w:b/>
          <w:color w:val="212529"/>
          <w:sz w:val="16"/>
          <w:szCs w:val="16"/>
          <w:highlight w:val="white"/>
        </w:rPr>
        <w:t> </w:t>
      </w:r>
      <w:r w:rsidRPr="00DE6425">
        <w:rPr>
          <w:rFonts w:ascii="Arial Nova Light" w:eastAsia="Arial Nova" w:hAnsi="Arial Nova Light" w:cs="Arial Nova"/>
          <w:b/>
          <w:color w:val="212529"/>
          <w:sz w:val="16"/>
          <w:szCs w:val="16"/>
        </w:rPr>
        <w:t>ESTUDIO INTEGRAL </w:t>
      </w:r>
      <w:r w:rsidRPr="00DE6425">
        <w:rPr>
          <w:rFonts w:ascii="Arial Nova Light" w:eastAsia="Arial Nova" w:hAnsi="Arial Nova Light" w:cs="Arial Nova"/>
          <w:b/>
          <w:color w:val="212529"/>
          <w:sz w:val="16"/>
          <w:szCs w:val="16"/>
          <w:highlight w:val="white"/>
        </w:rPr>
        <w:t>PARA </w:t>
      </w:r>
      <w:r w:rsidRPr="00DE6425">
        <w:rPr>
          <w:rFonts w:ascii="Arial Nova Light" w:eastAsia="Arial Nova" w:hAnsi="Arial Nova Light" w:cs="Arial Nova"/>
          <w:b/>
          <w:color w:val="212529"/>
          <w:sz w:val="16"/>
          <w:szCs w:val="16"/>
        </w:rPr>
        <w:t>DESENTRAÑAR </w:t>
      </w:r>
      <w:r w:rsidRPr="00DE6425">
        <w:rPr>
          <w:rFonts w:ascii="Arial Nova Light" w:eastAsia="Arial Nova" w:hAnsi="Arial Nova Light" w:cs="Arial Nova"/>
          <w:b/>
          <w:color w:val="212529"/>
          <w:sz w:val="16"/>
          <w:szCs w:val="16"/>
          <w:highlight w:val="white"/>
        </w:rPr>
        <w:t>LA </w:t>
      </w:r>
      <w:r w:rsidRPr="00DE6425">
        <w:rPr>
          <w:rFonts w:ascii="Arial Nova Light" w:eastAsia="Arial Nova" w:hAnsi="Arial Nova Light" w:cs="Arial Nova"/>
          <w:b/>
          <w:color w:val="212529"/>
          <w:sz w:val="16"/>
          <w:szCs w:val="16"/>
        </w:rPr>
        <w:t>CAUSA </w:t>
      </w:r>
      <w:r w:rsidRPr="00DE6425">
        <w:rPr>
          <w:rFonts w:ascii="Arial Nova Light" w:eastAsia="Arial Nova" w:hAnsi="Arial Nova Light" w:cs="Arial Nova"/>
          <w:b/>
          <w:color w:val="212529"/>
          <w:sz w:val="16"/>
          <w:szCs w:val="16"/>
          <w:highlight w:val="white"/>
        </w:rPr>
        <w:t>DE </w:t>
      </w:r>
      <w:r w:rsidRPr="00DE6425">
        <w:rPr>
          <w:rFonts w:ascii="Arial Nova Light" w:eastAsia="Arial Nova" w:hAnsi="Arial Nova Light" w:cs="Arial Nova"/>
          <w:b/>
          <w:color w:val="212529"/>
          <w:sz w:val="16"/>
          <w:szCs w:val="16"/>
        </w:rPr>
        <w:t xml:space="preserve">PEDIR. </w:t>
      </w:r>
      <w:r w:rsidRPr="00DE6425">
        <w:rPr>
          <w:rFonts w:ascii="Arial Nova Light" w:eastAsia="Arial Nova" w:hAnsi="Arial Nova Light" w:cs="Arial Nova"/>
          <w:color w:val="212529"/>
          <w:sz w:val="16"/>
          <w:szCs w:val="16"/>
        </w:rPr>
        <w:t xml:space="preserve">Disponible para consulta en la URL: </w:t>
      </w:r>
      <w:hyperlink r:id="rId4">
        <w:r w:rsidRPr="00DE6425">
          <w:rPr>
            <w:rFonts w:ascii="Arial Nova Light" w:eastAsia="Arial Nova" w:hAnsi="Arial Nova Light" w:cs="Arial Nova"/>
            <w:color w:val="0000FF"/>
            <w:sz w:val="16"/>
            <w:szCs w:val="16"/>
            <w:u w:val="single"/>
          </w:rPr>
          <w:t>https://sjf2.scjn.gob.mx/detalle/tesis/162385</w:t>
        </w:r>
      </w:hyperlink>
      <w:r w:rsidRPr="00DE6425">
        <w:rPr>
          <w:rFonts w:ascii="Arial Nova Light" w:eastAsia="Arial Nova" w:hAnsi="Arial Nova Light" w:cs="Arial Nova"/>
          <w:color w:val="212529"/>
          <w:sz w:val="16"/>
          <w:szCs w:val="16"/>
        </w:rPr>
        <w:t xml:space="preserve"> </w:t>
      </w:r>
    </w:p>
  </w:footnote>
  <w:footnote w:id="9">
    <w:p w14:paraId="58743FFD" w14:textId="77777777" w:rsidR="0023123F" w:rsidRPr="00DE6425" w:rsidRDefault="0023123F" w:rsidP="00DE6425">
      <w:pPr>
        <w:pStyle w:val="Textonotapie"/>
        <w:jc w:val="both"/>
        <w:rPr>
          <w:rFonts w:ascii="Arial Nova Light" w:hAnsi="Arial Nova Light"/>
          <w:sz w:val="16"/>
          <w:szCs w:val="16"/>
        </w:rPr>
      </w:pPr>
      <w:r w:rsidRPr="00DE6425">
        <w:rPr>
          <w:rStyle w:val="Refdenotaalpie"/>
          <w:rFonts w:ascii="Arial Nova Light" w:hAnsi="Arial Nova Light"/>
          <w:sz w:val="16"/>
          <w:szCs w:val="16"/>
        </w:rPr>
        <w:footnoteRef/>
      </w:r>
      <w:r w:rsidRPr="00DE6425">
        <w:rPr>
          <w:rFonts w:ascii="Arial Nova Light" w:hAnsi="Arial Nova Light"/>
          <w:sz w:val="16"/>
          <w:szCs w:val="16"/>
        </w:rPr>
        <w:t xml:space="preserve"> Criterio SUP-JDC-23/2016 y SUP-JDC-65/2017.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5D58" w14:textId="1DA11343" w:rsidR="000049A0" w:rsidRDefault="00B735E9">
    <w:pPr>
      <w:pStyle w:val="Encabezado"/>
    </w:pPr>
    <w:r>
      <w:rPr>
        <w:noProof/>
      </w:rPr>
      <w:pict w14:anchorId="5009A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948954" o:spid="_x0000_s2050" type="#_x0000_t136" style="position:absolute;margin-left:0;margin-top:0;width:533.85pt;height:145.55pt;rotation:315;z-index:-251652096;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0F86" w14:textId="6F68E20B" w:rsidR="00566D05" w:rsidRDefault="00B735E9" w:rsidP="00CC4367">
    <w:pPr>
      <w:pStyle w:val="Encabezado"/>
      <w:jc w:val="center"/>
      <w:rPr>
        <w:rFonts w:ascii="Arial" w:hAnsi="Arial" w:cs="Arial"/>
        <w:b/>
        <w:sz w:val="18"/>
        <w:szCs w:val="18"/>
      </w:rPr>
    </w:pPr>
    <w:r>
      <w:rPr>
        <w:noProof/>
      </w:rPr>
      <w:pict w14:anchorId="00F26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948955" o:spid="_x0000_s2051" type="#_x0000_t136" style="position:absolute;left:0;text-align:left;margin-left:0;margin-top:0;width:533.85pt;height:145.55pt;rotation:315;z-index:-251650048;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r w:rsidR="00566D05" w:rsidRPr="00A46BD3">
      <w:rPr>
        <w:rFonts w:ascii="Century Gothic" w:hAnsi="Century Gothic"/>
        <w:noProof/>
        <w:lang w:val="es-ES" w:eastAsia="es-ES"/>
      </w:rPr>
      <w:drawing>
        <wp:anchor distT="0" distB="0" distL="114300" distR="114300" simplePos="0" relativeHeight="251659264" behindDoc="0" locked="0" layoutInCell="1" allowOverlap="1" wp14:anchorId="6853F853" wp14:editId="7A21556A">
          <wp:simplePos x="0" y="0"/>
          <wp:positionH relativeFrom="leftMargin">
            <wp:posOffset>842963</wp:posOffset>
          </wp:positionH>
          <wp:positionV relativeFrom="paragraph">
            <wp:posOffset>-159</wp:posOffset>
          </wp:positionV>
          <wp:extent cx="906133" cy="1078707"/>
          <wp:effectExtent l="0" t="0" r="889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909748" cy="1083011"/>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b/>
          <w:sz w:val="18"/>
          <w:szCs w:val="18"/>
        </w:rPr>
        <w:id w:val="784388259"/>
        <w:docPartObj>
          <w:docPartGallery w:val="Page Numbers (Margins)"/>
          <w:docPartUnique/>
        </w:docPartObj>
      </w:sdtPr>
      <w:sdtEndPr/>
      <w:sdtContent>
        <w:r w:rsidR="00566D05" w:rsidRPr="00395A47">
          <w:rPr>
            <w:rFonts w:ascii="Arial" w:hAnsi="Arial" w:cs="Arial"/>
            <w:b/>
            <w:noProof/>
            <w:sz w:val="18"/>
            <w:szCs w:val="18"/>
            <w:lang w:val="es-ES" w:eastAsia="es-ES"/>
          </w:rPr>
          <mc:AlternateContent>
            <mc:Choice Requires="wps">
              <w:drawing>
                <wp:anchor distT="0" distB="0" distL="114300" distR="114300" simplePos="0" relativeHeight="251660288" behindDoc="0" locked="0" layoutInCell="0" allowOverlap="1" wp14:anchorId="46021D55" wp14:editId="5A2C15FA">
                  <wp:simplePos x="0" y="0"/>
                  <wp:positionH relativeFrom="righ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20C8E5A6" w14:textId="77777777" w:rsidR="00566D05" w:rsidRDefault="00566D0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1D55" id="Rectángulo 6"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4qsFQ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0C8E5A6" w14:textId="77777777" w:rsidR="00566D05" w:rsidRDefault="00566D0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66D05">
      <w:rPr>
        <w:rFonts w:ascii="Arial" w:hAnsi="Arial" w:cs="Arial"/>
        <w:b/>
        <w:sz w:val="18"/>
        <w:szCs w:val="18"/>
      </w:rPr>
      <w:t xml:space="preserve">                                                               </w:t>
    </w:r>
  </w:p>
  <w:p w14:paraId="09117A79" w14:textId="77777777" w:rsidR="00566D05" w:rsidRDefault="00566D05" w:rsidP="00CC4367">
    <w:pPr>
      <w:pStyle w:val="Encabezado"/>
      <w:jc w:val="center"/>
      <w:rPr>
        <w:rFonts w:ascii="Arial" w:hAnsi="Arial" w:cs="Arial"/>
        <w:b/>
        <w:sz w:val="18"/>
        <w:szCs w:val="18"/>
      </w:rPr>
    </w:pPr>
  </w:p>
  <w:p w14:paraId="7E9431EB" w14:textId="40CB3E1F" w:rsidR="00566D05" w:rsidRPr="00197CB0" w:rsidRDefault="00566D05" w:rsidP="00197CB0">
    <w:pPr>
      <w:pStyle w:val="Encabezado"/>
      <w:jc w:val="right"/>
      <w:rPr>
        <w:rFonts w:ascii="Arial Nova Light" w:hAnsi="Arial Nova Light"/>
        <w:i/>
        <w:iCs/>
        <w:sz w:val="16"/>
        <w:szCs w:val="16"/>
      </w:rPr>
    </w:pPr>
    <w:r w:rsidRPr="00197CB0">
      <w:rPr>
        <w:rFonts w:ascii="Arial Nova Light" w:hAnsi="Arial Nova Light"/>
        <w:i/>
        <w:iCs/>
        <w:sz w:val="16"/>
        <w:szCs w:val="16"/>
      </w:rPr>
      <w:t>TEEA-JDC-105/2021 Y ACUMULADOS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CC2A" w14:textId="6FFBC054" w:rsidR="000049A0" w:rsidRDefault="00B735E9">
    <w:pPr>
      <w:pStyle w:val="Encabezado"/>
    </w:pPr>
    <w:r>
      <w:rPr>
        <w:noProof/>
      </w:rPr>
      <w:pict w14:anchorId="2F79D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948953" o:spid="_x0000_s2049" type="#_x0000_t136" style="position:absolute;margin-left:0;margin-top:0;width:533.85pt;height:145.55pt;rotation:315;z-index:-251654144;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2AA"/>
    <w:multiLevelType w:val="hybridMultilevel"/>
    <w:tmpl w:val="16181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B5F42"/>
    <w:multiLevelType w:val="hybridMultilevel"/>
    <w:tmpl w:val="9162F2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E68ED"/>
    <w:multiLevelType w:val="multilevel"/>
    <w:tmpl w:val="54407B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75190"/>
    <w:multiLevelType w:val="hybridMultilevel"/>
    <w:tmpl w:val="65085D50"/>
    <w:lvl w:ilvl="0" w:tplc="2FDEDA78">
      <w:start w:val="1"/>
      <w:numFmt w:val="lowerLetter"/>
      <w:lvlText w:val="%1)"/>
      <w:lvlJc w:val="left"/>
      <w:pPr>
        <w:ind w:left="720" w:hanging="360"/>
      </w:pPr>
      <w:rPr>
        <w:rFonts w:ascii="Arial" w:eastAsiaTheme="minorEastAs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2761C"/>
    <w:multiLevelType w:val="hybridMultilevel"/>
    <w:tmpl w:val="559213E4"/>
    <w:lvl w:ilvl="0" w:tplc="7C52C21C">
      <w:start w:val="1"/>
      <w:numFmt w:val="lowerLetter"/>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5" w15:restartNumberingAfterBreak="0">
    <w:nsid w:val="126C5E22"/>
    <w:multiLevelType w:val="hybridMultilevel"/>
    <w:tmpl w:val="9836C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5430E"/>
    <w:multiLevelType w:val="multilevel"/>
    <w:tmpl w:val="6152F96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5F13A2"/>
    <w:multiLevelType w:val="hybridMultilevel"/>
    <w:tmpl w:val="BC7EC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E7C98"/>
    <w:multiLevelType w:val="hybridMultilevel"/>
    <w:tmpl w:val="CBFC1D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117C9"/>
    <w:multiLevelType w:val="hybridMultilevel"/>
    <w:tmpl w:val="5EAA0C68"/>
    <w:lvl w:ilvl="0" w:tplc="5DC011B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46D3C"/>
    <w:multiLevelType w:val="hybridMultilevel"/>
    <w:tmpl w:val="7CBE1456"/>
    <w:lvl w:ilvl="0" w:tplc="E7B82F90">
      <w:start w:val="9"/>
      <w:numFmt w:val="lowerLetter"/>
      <w:lvlText w:val="%1."/>
      <w:lvlJc w:val="left"/>
      <w:pPr>
        <w:ind w:left="720" w:hanging="360"/>
      </w:pPr>
      <w:rPr>
        <w:rFonts w:hint="default"/>
        <w:color w:val="FF0000"/>
      </w:rPr>
    </w:lvl>
    <w:lvl w:ilvl="1" w:tplc="70A27C9C">
      <w:start w:val="1"/>
      <w:numFmt w:val="lowerLetter"/>
      <w:lvlText w:val="%2."/>
      <w:lvlJc w:val="left"/>
      <w:pPr>
        <w:ind w:left="1440" w:hanging="360"/>
      </w:pPr>
      <w:rPr>
        <w:b/>
        <w:bCs/>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466232"/>
    <w:multiLevelType w:val="hybridMultilevel"/>
    <w:tmpl w:val="0966D9C6"/>
    <w:lvl w:ilvl="0" w:tplc="34340B2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F1500F8"/>
    <w:multiLevelType w:val="hybridMultilevel"/>
    <w:tmpl w:val="F710A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C8249D"/>
    <w:multiLevelType w:val="hybridMultilevel"/>
    <w:tmpl w:val="8C449446"/>
    <w:lvl w:ilvl="0" w:tplc="033EB36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314733AE"/>
    <w:multiLevelType w:val="hybridMultilevel"/>
    <w:tmpl w:val="A7D408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14B569A"/>
    <w:multiLevelType w:val="hybridMultilevel"/>
    <w:tmpl w:val="3E825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24427B"/>
    <w:multiLevelType w:val="multilevel"/>
    <w:tmpl w:val="F446C2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8C1CD1"/>
    <w:multiLevelType w:val="hybridMultilevel"/>
    <w:tmpl w:val="9A4263EA"/>
    <w:lvl w:ilvl="0" w:tplc="A3A8E8AE">
      <w:start w:val="1"/>
      <w:numFmt w:val="upperRoman"/>
      <w:lvlText w:val="%1."/>
      <w:lvlJc w:val="left"/>
      <w:pPr>
        <w:ind w:left="1080" w:hanging="720"/>
      </w:pPr>
      <w:rPr>
        <w:rFonts w:eastAsiaTheme="minorHAnsi"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9" w15:restartNumberingAfterBreak="0">
    <w:nsid w:val="38265A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EB1BF1"/>
    <w:multiLevelType w:val="multilevel"/>
    <w:tmpl w:val="BE3217C0"/>
    <w:lvl w:ilvl="0">
      <w:start w:val="1"/>
      <w:numFmt w:val="decimal"/>
      <w:lvlText w:val="%1."/>
      <w:lvlJc w:val="left"/>
      <w:pPr>
        <w:ind w:left="1776" w:hanging="360"/>
      </w:pPr>
      <w:rPr>
        <w:rFonts w:hint="default"/>
        <w:b/>
      </w:rPr>
    </w:lvl>
    <w:lvl w:ilvl="1">
      <w:start w:val="1"/>
      <w:numFmt w:val="decimal"/>
      <w:lvlText w:val="%2."/>
      <w:lvlJc w:val="left"/>
      <w:pPr>
        <w:ind w:left="1836" w:hanging="420"/>
      </w:pPr>
      <w:rPr>
        <w:b/>
      </w:rPr>
    </w:lvl>
    <w:lvl w:ilvl="2">
      <w:start w:val="1"/>
      <w:numFmt w:val="decimal"/>
      <w:isLgl/>
      <w:lvlText w:val="%1.%2.%3."/>
      <w:lvlJc w:val="left"/>
      <w:pPr>
        <w:ind w:left="1418" w:hanging="2"/>
      </w:pPr>
      <w:rPr>
        <w:rFonts w:hint="default"/>
        <w:b/>
      </w:rPr>
    </w:lvl>
    <w:lvl w:ilvl="3">
      <w:start w:val="1"/>
      <w:numFmt w:val="decimal"/>
      <w:isLgl/>
      <w:lvlText w:val="%1.%2.%3.%4."/>
      <w:lvlJc w:val="left"/>
      <w:pPr>
        <w:ind w:left="2136"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496" w:hanging="108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2856" w:hanging="1440"/>
      </w:pPr>
      <w:rPr>
        <w:rFonts w:hint="default"/>
        <w:b/>
      </w:rPr>
    </w:lvl>
    <w:lvl w:ilvl="8">
      <w:start w:val="1"/>
      <w:numFmt w:val="decimal"/>
      <w:isLgl/>
      <w:lvlText w:val="%1.%2.%3.%4.%5.%6.%7.%8.%9."/>
      <w:lvlJc w:val="left"/>
      <w:pPr>
        <w:ind w:left="3216" w:hanging="1800"/>
      </w:pPr>
      <w:rPr>
        <w:rFonts w:hint="default"/>
        <w:b/>
      </w:rPr>
    </w:lvl>
  </w:abstractNum>
  <w:abstractNum w:abstractNumId="21" w15:restartNumberingAfterBreak="0">
    <w:nsid w:val="3B4B7EC2"/>
    <w:multiLevelType w:val="hybridMultilevel"/>
    <w:tmpl w:val="E586FDEE"/>
    <w:lvl w:ilvl="0" w:tplc="0DAAA6FE">
      <w:start w:val="6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C214DF"/>
    <w:multiLevelType w:val="hybridMultilevel"/>
    <w:tmpl w:val="654456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406929"/>
    <w:multiLevelType w:val="hybridMultilevel"/>
    <w:tmpl w:val="D9286C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E435A3"/>
    <w:multiLevelType w:val="hybridMultilevel"/>
    <w:tmpl w:val="FEAEDFA2"/>
    <w:lvl w:ilvl="0" w:tplc="CF34A6E4">
      <w:start w:val="1"/>
      <w:numFmt w:val="lowerRoman"/>
      <w:lvlText w:val="%1."/>
      <w:lvlJc w:val="left"/>
      <w:pPr>
        <w:ind w:left="1440" w:hanging="72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24357AA"/>
    <w:multiLevelType w:val="hybridMultilevel"/>
    <w:tmpl w:val="DBDE65D6"/>
    <w:lvl w:ilvl="0" w:tplc="2CAE9002">
      <w:start w:val="1"/>
      <w:numFmt w:val="upperRoman"/>
      <w:lvlText w:val="%1."/>
      <w:lvlJc w:val="left"/>
      <w:pPr>
        <w:ind w:left="1080" w:hanging="720"/>
      </w:pPr>
      <w:rPr>
        <w:rFonts w:hint="default"/>
        <w:color w:val="auto"/>
      </w:rPr>
    </w:lvl>
    <w:lvl w:ilvl="1" w:tplc="3946B3E0">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AF6415"/>
    <w:multiLevelType w:val="multilevel"/>
    <w:tmpl w:val="7130C5F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3BF2A61"/>
    <w:multiLevelType w:val="hybridMultilevel"/>
    <w:tmpl w:val="472E018C"/>
    <w:lvl w:ilvl="0" w:tplc="080A000F">
      <w:start w:val="5"/>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AB5683"/>
    <w:multiLevelType w:val="hybridMultilevel"/>
    <w:tmpl w:val="15E8EBF6"/>
    <w:lvl w:ilvl="0" w:tplc="DDD823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3F4065"/>
    <w:multiLevelType w:val="hybridMultilevel"/>
    <w:tmpl w:val="684C9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212ECC"/>
    <w:multiLevelType w:val="hybridMultilevel"/>
    <w:tmpl w:val="1F0441E2"/>
    <w:lvl w:ilvl="0" w:tplc="BD668B3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96ECB"/>
    <w:multiLevelType w:val="hybridMultilevel"/>
    <w:tmpl w:val="B4FA76AE"/>
    <w:lvl w:ilvl="0" w:tplc="080A0019">
      <w:start w:val="1"/>
      <w:numFmt w:val="lowerLetter"/>
      <w:lvlText w:val="%1."/>
      <w:lvlJc w:val="left"/>
      <w:pPr>
        <w:ind w:left="720" w:hanging="360"/>
      </w:pPr>
      <w:rPr>
        <w:rFonts w:hint="default"/>
      </w:rPr>
    </w:lvl>
    <w:lvl w:ilvl="1" w:tplc="8FCC2868">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9B3190"/>
    <w:multiLevelType w:val="hybridMultilevel"/>
    <w:tmpl w:val="38FC6D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31911"/>
    <w:multiLevelType w:val="hybridMultilevel"/>
    <w:tmpl w:val="802A2F28"/>
    <w:lvl w:ilvl="0" w:tplc="7AC8EDBA">
      <w:start w:val="6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DA7557"/>
    <w:multiLevelType w:val="hybridMultilevel"/>
    <w:tmpl w:val="5A68A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723AF0"/>
    <w:multiLevelType w:val="multilevel"/>
    <w:tmpl w:val="34504E02"/>
    <w:lvl w:ilvl="0">
      <w:start w:val="1"/>
      <w:numFmt w:val="decimal"/>
      <w:lvlText w:val="%1."/>
      <w:lvlJc w:val="left"/>
      <w:pPr>
        <w:ind w:left="720" w:hanging="360"/>
      </w:pPr>
      <w:rPr>
        <w:rFonts w:hint="default"/>
        <w:b/>
      </w:rPr>
    </w:lvl>
    <w:lvl w:ilvl="1">
      <w:start w:val="2"/>
      <w:numFmt w:val="decimal"/>
      <w:isLgl/>
      <w:lvlText w:val="%1.%2."/>
      <w:lvlJc w:val="left"/>
      <w:pPr>
        <w:ind w:left="72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38" w15:restartNumberingAfterBreak="0">
    <w:nsid w:val="6AB31ABC"/>
    <w:multiLevelType w:val="hybridMultilevel"/>
    <w:tmpl w:val="005C3512"/>
    <w:lvl w:ilvl="0" w:tplc="179E483E">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5F5B8B"/>
    <w:multiLevelType w:val="hybridMultilevel"/>
    <w:tmpl w:val="78ACD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6B3DC6"/>
    <w:multiLevelType w:val="multilevel"/>
    <w:tmpl w:val="09764B8C"/>
    <w:lvl w:ilvl="0">
      <w:start w:val="1"/>
      <w:numFmt w:val="decimal"/>
      <w:lvlText w:val="%1."/>
      <w:lvlJc w:val="left"/>
      <w:pPr>
        <w:ind w:left="720" w:hanging="360"/>
      </w:pPr>
      <w:rPr>
        <w:rFonts w:hint="default"/>
        <w:b/>
        <w:color w:val="auto"/>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6C473014"/>
    <w:multiLevelType w:val="hybridMultilevel"/>
    <w:tmpl w:val="04ACAE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20679F"/>
    <w:multiLevelType w:val="hybridMultilevel"/>
    <w:tmpl w:val="01F0CD80"/>
    <w:lvl w:ilvl="0" w:tplc="352C67B4">
      <w:start w:val="1"/>
      <w:numFmt w:val="decimal"/>
      <w:lvlText w:val="%1."/>
      <w:lvlJc w:val="left"/>
      <w:pPr>
        <w:ind w:left="720" w:hanging="360"/>
      </w:pPr>
      <w:rPr>
        <w:rFonts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150486"/>
    <w:multiLevelType w:val="hybridMultilevel"/>
    <w:tmpl w:val="CA54A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153DE3"/>
    <w:multiLevelType w:val="hybridMultilevel"/>
    <w:tmpl w:val="B2FAC496"/>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8D3CF4"/>
    <w:multiLevelType w:val="hybridMultilevel"/>
    <w:tmpl w:val="01F0CD80"/>
    <w:lvl w:ilvl="0" w:tplc="352C67B4">
      <w:start w:val="1"/>
      <w:numFmt w:val="decimal"/>
      <w:lvlText w:val="%1."/>
      <w:lvlJc w:val="left"/>
      <w:pPr>
        <w:ind w:left="720" w:hanging="360"/>
      </w:pPr>
      <w:rPr>
        <w:rFonts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D45EE2"/>
    <w:multiLevelType w:val="hybridMultilevel"/>
    <w:tmpl w:val="E796E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
  </w:num>
  <w:num w:numId="4">
    <w:abstractNumId w:val="43"/>
  </w:num>
  <w:num w:numId="5">
    <w:abstractNumId w:val="19"/>
  </w:num>
  <w:num w:numId="6">
    <w:abstractNumId w:val="28"/>
  </w:num>
  <w:num w:numId="7">
    <w:abstractNumId w:val="33"/>
  </w:num>
  <w:num w:numId="8">
    <w:abstractNumId w:val="18"/>
  </w:num>
  <w:num w:numId="9">
    <w:abstractNumId w:val="8"/>
  </w:num>
  <w:num w:numId="10">
    <w:abstractNumId w:val="39"/>
  </w:num>
  <w:num w:numId="11">
    <w:abstractNumId w:val="5"/>
  </w:num>
  <w:num w:numId="12">
    <w:abstractNumId w:val="46"/>
  </w:num>
  <w:num w:numId="13">
    <w:abstractNumId w:val="38"/>
  </w:num>
  <w:num w:numId="14">
    <w:abstractNumId w:val="35"/>
  </w:num>
  <w:num w:numId="15">
    <w:abstractNumId w:val="21"/>
  </w:num>
  <w:num w:numId="16">
    <w:abstractNumId w:val="11"/>
  </w:num>
  <w:num w:numId="17">
    <w:abstractNumId w:val="22"/>
  </w:num>
  <w:num w:numId="18">
    <w:abstractNumId w:val="25"/>
  </w:num>
  <w:num w:numId="19">
    <w:abstractNumId w:val="9"/>
  </w:num>
  <w:num w:numId="20">
    <w:abstractNumId w:val="34"/>
  </w:num>
  <w:num w:numId="21">
    <w:abstractNumId w:val="29"/>
  </w:num>
  <w:num w:numId="22">
    <w:abstractNumId w:val="23"/>
  </w:num>
  <w:num w:numId="23">
    <w:abstractNumId w:val="36"/>
  </w:num>
  <w:num w:numId="24">
    <w:abstractNumId w:val="24"/>
  </w:num>
  <w:num w:numId="25">
    <w:abstractNumId w:val="31"/>
  </w:num>
  <w:num w:numId="26">
    <w:abstractNumId w:val="3"/>
  </w:num>
  <w:num w:numId="27">
    <w:abstractNumId w:val="27"/>
  </w:num>
  <w:num w:numId="28">
    <w:abstractNumId w:val="30"/>
  </w:num>
  <w:num w:numId="29">
    <w:abstractNumId w:val="7"/>
  </w:num>
  <w:num w:numId="30">
    <w:abstractNumId w:val="15"/>
  </w:num>
  <w:num w:numId="31">
    <w:abstractNumId w:val="44"/>
  </w:num>
  <w:num w:numId="32">
    <w:abstractNumId w:val="4"/>
  </w:num>
  <w:num w:numId="33">
    <w:abstractNumId w:val="12"/>
  </w:num>
  <w:num w:numId="34">
    <w:abstractNumId w:val="26"/>
  </w:num>
  <w:num w:numId="35">
    <w:abstractNumId w:val="17"/>
  </w:num>
  <w:num w:numId="36">
    <w:abstractNumId w:val="40"/>
  </w:num>
  <w:num w:numId="37">
    <w:abstractNumId w:val="2"/>
  </w:num>
  <w:num w:numId="38">
    <w:abstractNumId w:val="6"/>
  </w:num>
  <w:num w:numId="39">
    <w:abstractNumId w:val="16"/>
  </w:num>
  <w:num w:numId="40">
    <w:abstractNumId w:val="13"/>
  </w:num>
  <w:num w:numId="41">
    <w:abstractNumId w:val="0"/>
  </w:num>
  <w:num w:numId="42">
    <w:abstractNumId w:val="14"/>
  </w:num>
  <w:num w:numId="43">
    <w:abstractNumId w:val="41"/>
  </w:num>
  <w:num w:numId="44">
    <w:abstractNumId w:val="32"/>
  </w:num>
  <w:num w:numId="45">
    <w:abstractNumId w:val="10"/>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F1"/>
    <w:rsid w:val="00001A29"/>
    <w:rsid w:val="000049A0"/>
    <w:rsid w:val="00006F37"/>
    <w:rsid w:val="00007EE1"/>
    <w:rsid w:val="00010ECA"/>
    <w:rsid w:val="00011836"/>
    <w:rsid w:val="000118AA"/>
    <w:rsid w:val="000158B2"/>
    <w:rsid w:val="0002016D"/>
    <w:rsid w:val="000308CA"/>
    <w:rsid w:val="000334CF"/>
    <w:rsid w:val="000353C9"/>
    <w:rsid w:val="00036942"/>
    <w:rsid w:val="00036D46"/>
    <w:rsid w:val="00047C56"/>
    <w:rsid w:val="00052623"/>
    <w:rsid w:val="00055A23"/>
    <w:rsid w:val="000565B3"/>
    <w:rsid w:val="0006391A"/>
    <w:rsid w:val="000639EB"/>
    <w:rsid w:val="00065A9F"/>
    <w:rsid w:val="00066168"/>
    <w:rsid w:val="00066E91"/>
    <w:rsid w:val="00067257"/>
    <w:rsid w:val="00081E37"/>
    <w:rsid w:val="00082CDC"/>
    <w:rsid w:val="00087A18"/>
    <w:rsid w:val="000933D8"/>
    <w:rsid w:val="00093B53"/>
    <w:rsid w:val="0009557C"/>
    <w:rsid w:val="000A0746"/>
    <w:rsid w:val="000A217F"/>
    <w:rsid w:val="000A6438"/>
    <w:rsid w:val="000B0025"/>
    <w:rsid w:val="000B1AA0"/>
    <w:rsid w:val="000B23B5"/>
    <w:rsid w:val="000B2923"/>
    <w:rsid w:val="000B4155"/>
    <w:rsid w:val="000B430D"/>
    <w:rsid w:val="000C1868"/>
    <w:rsid w:val="000C3632"/>
    <w:rsid w:val="000D0818"/>
    <w:rsid w:val="000D26BC"/>
    <w:rsid w:val="000D57A1"/>
    <w:rsid w:val="000E0C39"/>
    <w:rsid w:val="000E3FF8"/>
    <w:rsid w:val="000E4199"/>
    <w:rsid w:val="000E6A0A"/>
    <w:rsid w:val="000F379D"/>
    <w:rsid w:val="000F3C17"/>
    <w:rsid w:val="000F62CC"/>
    <w:rsid w:val="0010320D"/>
    <w:rsid w:val="001101C5"/>
    <w:rsid w:val="00112FC2"/>
    <w:rsid w:val="00122344"/>
    <w:rsid w:val="00125F23"/>
    <w:rsid w:val="00126723"/>
    <w:rsid w:val="00126AA7"/>
    <w:rsid w:val="00132224"/>
    <w:rsid w:val="00134139"/>
    <w:rsid w:val="001356AA"/>
    <w:rsid w:val="0014121D"/>
    <w:rsid w:val="00146DC1"/>
    <w:rsid w:val="0014734D"/>
    <w:rsid w:val="00147C21"/>
    <w:rsid w:val="00150D13"/>
    <w:rsid w:val="0015409A"/>
    <w:rsid w:val="0015563B"/>
    <w:rsid w:val="00156489"/>
    <w:rsid w:val="00157861"/>
    <w:rsid w:val="00161EAE"/>
    <w:rsid w:val="00165199"/>
    <w:rsid w:val="0017034E"/>
    <w:rsid w:val="00170A84"/>
    <w:rsid w:val="00173827"/>
    <w:rsid w:val="00175AB8"/>
    <w:rsid w:val="00175B85"/>
    <w:rsid w:val="00176C33"/>
    <w:rsid w:val="00180066"/>
    <w:rsid w:val="00181E75"/>
    <w:rsid w:val="00184BF6"/>
    <w:rsid w:val="001907AD"/>
    <w:rsid w:val="00191E89"/>
    <w:rsid w:val="00197CB0"/>
    <w:rsid w:val="001B2905"/>
    <w:rsid w:val="001B2B26"/>
    <w:rsid w:val="001B76D3"/>
    <w:rsid w:val="001C111E"/>
    <w:rsid w:val="001C11F1"/>
    <w:rsid w:val="001D5603"/>
    <w:rsid w:val="001D63BF"/>
    <w:rsid w:val="001D670D"/>
    <w:rsid w:val="001E0D54"/>
    <w:rsid w:val="001E36C6"/>
    <w:rsid w:val="001E3903"/>
    <w:rsid w:val="001F08BE"/>
    <w:rsid w:val="001F25D4"/>
    <w:rsid w:val="001F3261"/>
    <w:rsid w:val="001F5490"/>
    <w:rsid w:val="001F6272"/>
    <w:rsid w:val="00204B0D"/>
    <w:rsid w:val="002060B9"/>
    <w:rsid w:val="002125EE"/>
    <w:rsid w:val="00212928"/>
    <w:rsid w:val="00212C71"/>
    <w:rsid w:val="00215E2B"/>
    <w:rsid w:val="00222FDF"/>
    <w:rsid w:val="0023123F"/>
    <w:rsid w:val="00233329"/>
    <w:rsid w:val="00233365"/>
    <w:rsid w:val="00233B64"/>
    <w:rsid w:val="00237228"/>
    <w:rsid w:val="00241128"/>
    <w:rsid w:val="00243854"/>
    <w:rsid w:val="00245261"/>
    <w:rsid w:val="00246644"/>
    <w:rsid w:val="0024755F"/>
    <w:rsid w:val="00250166"/>
    <w:rsid w:val="00260186"/>
    <w:rsid w:val="002622EC"/>
    <w:rsid w:val="0026763A"/>
    <w:rsid w:val="002678D8"/>
    <w:rsid w:val="0026799A"/>
    <w:rsid w:val="002746B9"/>
    <w:rsid w:val="0028270E"/>
    <w:rsid w:val="0028652F"/>
    <w:rsid w:val="00286532"/>
    <w:rsid w:val="002872EB"/>
    <w:rsid w:val="0028761E"/>
    <w:rsid w:val="00290BC7"/>
    <w:rsid w:val="00292653"/>
    <w:rsid w:val="0029647F"/>
    <w:rsid w:val="00296B0F"/>
    <w:rsid w:val="002970EE"/>
    <w:rsid w:val="002A13B1"/>
    <w:rsid w:val="002A4F78"/>
    <w:rsid w:val="002A5389"/>
    <w:rsid w:val="002A6CC3"/>
    <w:rsid w:val="002B06E4"/>
    <w:rsid w:val="002B13F8"/>
    <w:rsid w:val="002B1EA9"/>
    <w:rsid w:val="002B4242"/>
    <w:rsid w:val="002C049D"/>
    <w:rsid w:val="002C0A2B"/>
    <w:rsid w:val="002C47E9"/>
    <w:rsid w:val="002C563F"/>
    <w:rsid w:val="002D27A7"/>
    <w:rsid w:val="002D3BAF"/>
    <w:rsid w:val="002E1E6E"/>
    <w:rsid w:val="002E2DF0"/>
    <w:rsid w:val="002F01F0"/>
    <w:rsid w:val="002F27E3"/>
    <w:rsid w:val="002F3233"/>
    <w:rsid w:val="003021AC"/>
    <w:rsid w:val="003022DD"/>
    <w:rsid w:val="00304CDB"/>
    <w:rsid w:val="00304FF8"/>
    <w:rsid w:val="00306F38"/>
    <w:rsid w:val="0031059C"/>
    <w:rsid w:val="00310629"/>
    <w:rsid w:val="00311E42"/>
    <w:rsid w:val="00312DE9"/>
    <w:rsid w:val="003168A7"/>
    <w:rsid w:val="00335246"/>
    <w:rsid w:val="00335A1F"/>
    <w:rsid w:val="00336881"/>
    <w:rsid w:val="00337AB9"/>
    <w:rsid w:val="00343C0E"/>
    <w:rsid w:val="00343FC7"/>
    <w:rsid w:val="00351D80"/>
    <w:rsid w:val="0035380F"/>
    <w:rsid w:val="0035452F"/>
    <w:rsid w:val="003578C5"/>
    <w:rsid w:val="0036587F"/>
    <w:rsid w:val="0036596D"/>
    <w:rsid w:val="00367FCD"/>
    <w:rsid w:val="00371970"/>
    <w:rsid w:val="00374931"/>
    <w:rsid w:val="00377005"/>
    <w:rsid w:val="003825CA"/>
    <w:rsid w:val="00383C93"/>
    <w:rsid w:val="003859B6"/>
    <w:rsid w:val="003906B4"/>
    <w:rsid w:val="00392740"/>
    <w:rsid w:val="00394793"/>
    <w:rsid w:val="003950A8"/>
    <w:rsid w:val="00395685"/>
    <w:rsid w:val="003966D6"/>
    <w:rsid w:val="00397265"/>
    <w:rsid w:val="00397D25"/>
    <w:rsid w:val="003A1B91"/>
    <w:rsid w:val="003A36C8"/>
    <w:rsid w:val="003A4A35"/>
    <w:rsid w:val="003A58C3"/>
    <w:rsid w:val="003A6EA4"/>
    <w:rsid w:val="003B2B66"/>
    <w:rsid w:val="003C026F"/>
    <w:rsid w:val="003C0695"/>
    <w:rsid w:val="003C3F67"/>
    <w:rsid w:val="003C6D28"/>
    <w:rsid w:val="003C6E9B"/>
    <w:rsid w:val="003D09FB"/>
    <w:rsid w:val="003D4624"/>
    <w:rsid w:val="003D567B"/>
    <w:rsid w:val="003F4DEC"/>
    <w:rsid w:val="00400265"/>
    <w:rsid w:val="00400B60"/>
    <w:rsid w:val="004019F2"/>
    <w:rsid w:val="004035B1"/>
    <w:rsid w:val="00406257"/>
    <w:rsid w:val="00412622"/>
    <w:rsid w:val="00413BB2"/>
    <w:rsid w:val="004207BC"/>
    <w:rsid w:val="00420A2B"/>
    <w:rsid w:val="00422421"/>
    <w:rsid w:val="00422E18"/>
    <w:rsid w:val="00422EC7"/>
    <w:rsid w:val="00425012"/>
    <w:rsid w:val="00426C61"/>
    <w:rsid w:val="00431804"/>
    <w:rsid w:val="0043197C"/>
    <w:rsid w:val="004359BA"/>
    <w:rsid w:val="004361A9"/>
    <w:rsid w:val="004434D3"/>
    <w:rsid w:val="00446D6D"/>
    <w:rsid w:val="00451F1D"/>
    <w:rsid w:val="00455047"/>
    <w:rsid w:val="00455A86"/>
    <w:rsid w:val="00460FDB"/>
    <w:rsid w:val="0047088C"/>
    <w:rsid w:val="00472715"/>
    <w:rsid w:val="004752D6"/>
    <w:rsid w:val="00480C22"/>
    <w:rsid w:val="00480CFC"/>
    <w:rsid w:val="00480EA0"/>
    <w:rsid w:val="00484F10"/>
    <w:rsid w:val="00485BEB"/>
    <w:rsid w:val="004865E2"/>
    <w:rsid w:val="00487C91"/>
    <w:rsid w:val="00490D3C"/>
    <w:rsid w:val="00492295"/>
    <w:rsid w:val="00493FD4"/>
    <w:rsid w:val="0049467A"/>
    <w:rsid w:val="00495859"/>
    <w:rsid w:val="00495949"/>
    <w:rsid w:val="00497D2F"/>
    <w:rsid w:val="004A422D"/>
    <w:rsid w:val="004A7173"/>
    <w:rsid w:val="004B234F"/>
    <w:rsid w:val="004B2823"/>
    <w:rsid w:val="004B3267"/>
    <w:rsid w:val="004C22AD"/>
    <w:rsid w:val="004C2C57"/>
    <w:rsid w:val="004C6C5F"/>
    <w:rsid w:val="004D4258"/>
    <w:rsid w:val="004D5C58"/>
    <w:rsid w:val="004D7950"/>
    <w:rsid w:val="004E04EF"/>
    <w:rsid w:val="004E6F31"/>
    <w:rsid w:val="004F26C6"/>
    <w:rsid w:val="004F4B40"/>
    <w:rsid w:val="004F7261"/>
    <w:rsid w:val="00500A21"/>
    <w:rsid w:val="00501096"/>
    <w:rsid w:val="0050221D"/>
    <w:rsid w:val="005055A3"/>
    <w:rsid w:val="00507FFA"/>
    <w:rsid w:val="005108C2"/>
    <w:rsid w:val="00517AD0"/>
    <w:rsid w:val="00521A02"/>
    <w:rsid w:val="00524C94"/>
    <w:rsid w:val="005279C7"/>
    <w:rsid w:val="00532081"/>
    <w:rsid w:val="00535DE6"/>
    <w:rsid w:val="00537A2C"/>
    <w:rsid w:val="00557011"/>
    <w:rsid w:val="00557ADE"/>
    <w:rsid w:val="0056157F"/>
    <w:rsid w:val="00564C6D"/>
    <w:rsid w:val="0056590D"/>
    <w:rsid w:val="00565FCF"/>
    <w:rsid w:val="00566D05"/>
    <w:rsid w:val="00572BCC"/>
    <w:rsid w:val="0057395C"/>
    <w:rsid w:val="00573CC8"/>
    <w:rsid w:val="00573F0E"/>
    <w:rsid w:val="00577C4A"/>
    <w:rsid w:val="005817F8"/>
    <w:rsid w:val="005825FD"/>
    <w:rsid w:val="0058338E"/>
    <w:rsid w:val="00584ACC"/>
    <w:rsid w:val="00584EB4"/>
    <w:rsid w:val="00585DA0"/>
    <w:rsid w:val="00591C32"/>
    <w:rsid w:val="00592314"/>
    <w:rsid w:val="00595375"/>
    <w:rsid w:val="00596D94"/>
    <w:rsid w:val="00597945"/>
    <w:rsid w:val="005A1AA7"/>
    <w:rsid w:val="005A59D2"/>
    <w:rsid w:val="005A7130"/>
    <w:rsid w:val="005B67A2"/>
    <w:rsid w:val="005C0835"/>
    <w:rsid w:val="005C18C9"/>
    <w:rsid w:val="005C35FC"/>
    <w:rsid w:val="005C7D30"/>
    <w:rsid w:val="005D1C3A"/>
    <w:rsid w:val="005D2C3D"/>
    <w:rsid w:val="005D7F90"/>
    <w:rsid w:val="005E3F2F"/>
    <w:rsid w:val="005E7A64"/>
    <w:rsid w:val="005F0360"/>
    <w:rsid w:val="005F036F"/>
    <w:rsid w:val="005F5155"/>
    <w:rsid w:val="005F6530"/>
    <w:rsid w:val="005F7BA8"/>
    <w:rsid w:val="00610653"/>
    <w:rsid w:val="00614782"/>
    <w:rsid w:val="00616407"/>
    <w:rsid w:val="00625101"/>
    <w:rsid w:val="006268C3"/>
    <w:rsid w:val="00626EA4"/>
    <w:rsid w:val="00630227"/>
    <w:rsid w:val="00632FE3"/>
    <w:rsid w:val="006336F0"/>
    <w:rsid w:val="00633938"/>
    <w:rsid w:val="00635853"/>
    <w:rsid w:val="00636114"/>
    <w:rsid w:val="00640D2D"/>
    <w:rsid w:val="0064189E"/>
    <w:rsid w:val="0064198E"/>
    <w:rsid w:val="00646A42"/>
    <w:rsid w:val="00646F91"/>
    <w:rsid w:val="00655905"/>
    <w:rsid w:val="00657FCD"/>
    <w:rsid w:val="00664CC0"/>
    <w:rsid w:val="00665E11"/>
    <w:rsid w:val="006676AF"/>
    <w:rsid w:val="00667FB1"/>
    <w:rsid w:val="006714AE"/>
    <w:rsid w:val="00671BED"/>
    <w:rsid w:val="00671EC4"/>
    <w:rsid w:val="006721AC"/>
    <w:rsid w:val="00673262"/>
    <w:rsid w:val="0067417C"/>
    <w:rsid w:val="00674497"/>
    <w:rsid w:val="00677918"/>
    <w:rsid w:val="00677FB3"/>
    <w:rsid w:val="00680775"/>
    <w:rsid w:val="00680862"/>
    <w:rsid w:val="00680D80"/>
    <w:rsid w:val="0068211D"/>
    <w:rsid w:val="00682D17"/>
    <w:rsid w:val="00684DE6"/>
    <w:rsid w:val="00686D6C"/>
    <w:rsid w:val="00695074"/>
    <w:rsid w:val="00695D6E"/>
    <w:rsid w:val="00696E9E"/>
    <w:rsid w:val="006A022E"/>
    <w:rsid w:val="006A080C"/>
    <w:rsid w:val="006A509E"/>
    <w:rsid w:val="006A688E"/>
    <w:rsid w:val="006B007A"/>
    <w:rsid w:val="006B1C16"/>
    <w:rsid w:val="006B1F0C"/>
    <w:rsid w:val="006B2DD3"/>
    <w:rsid w:val="006B3603"/>
    <w:rsid w:val="006B40B7"/>
    <w:rsid w:val="006B737D"/>
    <w:rsid w:val="006C0B29"/>
    <w:rsid w:val="006C0D25"/>
    <w:rsid w:val="006C1BF4"/>
    <w:rsid w:val="006C31B4"/>
    <w:rsid w:val="006C493A"/>
    <w:rsid w:val="006C53ED"/>
    <w:rsid w:val="006C6FE0"/>
    <w:rsid w:val="006D55BA"/>
    <w:rsid w:val="006D70E0"/>
    <w:rsid w:val="006D729A"/>
    <w:rsid w:val="006E0BA9"/>
    <w:rsid w:val="006E22C1"/>
    <w:rsid w:val="006E38CE"/>
    <w:rsid w:val="006E3CE3"/>
    <w:rsid w:val="006E56C1"/>
    <w:rsid w:val="006F0B84"/>
    <w:rsid w:val="006F60C9"/>
    <w:rsid w:val="006F70A3"/>
    <w:rsid w:val="00700B54"/>
    <w:rsid w:val="0071020D"/>
    <w:rsid w:val="0071204B"/>
    <w:rsid w:val="00717964"/>
    <w:rsid w:val="00717AD0"/>
    <w:rsid w:val="007232EC"/>
    <w:rsid w:val="007258A9"/>
    <w:rsid w:val="00732AC4"/>
    <w:rsid w:val="00735B61"/>
    <w:rsid w:val="007437A9"/>
    <w:rsid w:val="00745328"/>
    <w:rsid w:val="00747119"/>
    <w:rsid w:val="007529C0"/>
    <w:rsid w:val="00754AB2"/>
    <w:rsid w:val="00755B83"/>
    <w:rsid w:val="00756E2C"/>
    <w:rsid w:val="00757B7D"/>
    <w:rsid w:val="007606F4"/>
    <w:rsid w:val="00761EE1"/>
    <w:rsid w:val="00764EE4"/>
    <w:rsid w:val="00785082"/>
    <w:rsid w:val="00787551"/>
    <w:rsid w:val="007945FA"/>
    <w:rsid w:val="00795E74"/>
    <w:rsid w:val="007A63B1"/>
    <w:rsid w:val="007B59ED"/>
    <w:rsid w:val="007B72BB"/>
    <w:rsid w:val="007B734E"/>
    <w:rsid w:val="007B78FD"/>
    <w:rsid w:val="007C326D"/>
    <w:rsid w:val="007C6360"/>
    <w:rsid w:val="007C7595"/>
    <w:rsid w:val="007D0E1E"/>
    <w:rsid w:val="007D3608"/>
    <w:rsid w:val="007D5C7E"/>
    <w:rsid w:val="007D6E12"/>
    <w:rsid w:val="007E12CA"/>
    <w:rsid w:val="007E3A5E"/>
    <w:rsid w:val="007E5010"/>
    <w:rsid w:val="007E5EE5"/>
    <w:rsid w:val="007E6652"/>
    <w:rsid w:val="007E7718"/>
    <w:rsid w:val="0080065A"/>
    <w:rsid w:val="00800CC1"/>
    <w:rsid w:val="00804BDA"/>
    <w:rsid w:val="00805F77"/>
    <w:rsid w:val="008070E5"/>
    <w:rsid w:val="008078C9"/>
    <w:rsid w:val="00807F16"/>
    <w:rsid w:val="00816392"/>
    <w:rsid w:val="00816C4F"/>
    <w:rsid w:val="00824A04"/>
    <w:rsid w:val="00826982"/>
    <w:rsid w:val="00831B20"/>
    <w:rsid w:val="00836E02"/>
    <w:rsid w:val="00841856"/>
    <w:rsid w:val="00842BCA"/>
    <w:rsid w:val="00847856"/>
    <w:rsid w:val="0085662F"/>
    <w:rsid w:val="0086107E"/>
    <w:rsid w:val="0086216B"/>
    <w:rsid w:val="008631FA"/>
    <w:rsid w:val="008651B7"/>
    <w:rsid w:val="00865368"/>
    <w:rsid w:val="00865802"/>
    <w:rsid w:val="0086640D"/>
    <w:rsid w:val="008718B5"/>
    <w:rsid w:val="00872B46"/>
    <w:rsid w:val="00874F3F"/>
    <w:rsid w:val="00875C50"/>
    <w:rsid w:val="00876535"/>
    <w:rsid w:val="00877A79"/>
    <w:rsid w:val="0088406D"/>
    <w:rsid w:val="00884075"/>
    <w:rsid w:val="00897A98"/>
    <w:rsid w:val="008A1072"/>
    <w:rsid w:val="008A3017"/>
    <w:rsid w:val="008B7283"/>
    <w:rsid w:val="008B7E86"/>
    <w:rsid w:val="008C258E"/>
    <w:rsid w:val="008C4A46"/>
    <w:rsid w:val="008C4E2A"/>
    <w:rsid w:val="008C6668"/>
    <w:rsid w:val="008D2801"/>
    <w:rsid w:val="008D2DD0"/>
    <w:rsid w:val="008D77EE"/>
    <w:rsid w:val="008E2F17"/>
    <w:rsid w:val="008E78A4"/>
    <w:rsid w:val="008F064D"/>
    <w:rsid w:val="008F1DE1"/>
    <w:rsid w:val="008F308F"/>
    <w:rsid w:val="008F70D4"/>
    <w:rsid w:val="00902F8A"/>
    <w:rsid w:val="00904D00"/>
    <w:rsid w:val="0091231C"/>
    <w:rsid w:val="00915E6B"/>
    <w:rsid w:val="0091764B"/>
    <w:rsid w:val="00920EBD"/>
    <w:rsid w:val="00921394"/>
    <w:rsid w:val="009229A8"/>
    <w:rsid w:val="00923E0F"/>
    <w:rsid w:val="009270BF"/>
    <w:rsid w:val="009314C4"/>
    <w:rsid w:val="009333E4"/>
    <w:rsid w:val="00934EF6"/>
    <w:rsid w:val="0093612C"/>
    <w:rsid w:val="00940285"/>
    <w:rsid w:val="009427ED"/>
    <w:rsid w:val="00947C96"/>
    <w:rsid w:val="00952474"/>
    <w:rsid w:val="00953B56"/>
    <w:rsid w:val="00957BCD"/>
    <w:rsid w:val="00957D78"/>
    <w:rsid w:val="00960374"/>
    <w:rsid w:val="009635F5"/>
    <w:rsid w:val="00964B77"/>
    <w:rsid w:val="00965998"/>
    <w:rsid w:val="00971BE1"/>
    <w:rsid w:val="009722F3"/>
    <w:rsid w:val="00972438"/>
    <w:rsid w:val="00974561"/>
    <w:rsid w:val="009773F5"/>
    <w:rsid w:val="009837F9"/>
    <w:rsid w:val="0098602E"/>
    <w:rsid w:val="00993234"/>
    <w:rsid w:val="00994CFB"/>
    <w:rsid w:val="009A333F"/>
    <w:rsid w:val="009A42BC"/>
    <w:rsid w:val="009A54F1"/>
    <w:rsid w:val="009A76E0"/>
    <w:rsid w:val="009A7988"/>
    <w:rsid w:val="009B059E"/>
    <w:rsid w:val="009B0E1D"/>
    <w:rsid w:val="009B1820"/>
    <w:rsid w:val="009B2AD4"/>
    <w:rsid w:val="009B7119"/>
    <w:rsid w:val="009C35E4"/>
    <w:rsid w:val="009C54B1"/>
    <w:rsid w:val="009C7B8B"/>
    <w:rsid w:val="009D16C5"/>
    <w:rsid w:val="009D4AEE"/>
    <w:rsid w:val="009D560D"/>
    <w:rsid w:val="009E0A28"/>
    <w:rsid w:val="009E41A6"/>
    <w:rsid w:val="009E717D"/>
    <w:rsid w:val="009E7209"/>
    <w:rsid w:val="009F0464"/>
    <w:rsid w:val="009F3B71"/>
    <w:rsid w:val="00A12CF1"/>
    <w:rsid w:val="00A137AC"/>
    <w:rsid w:val="00A14D67"/>
    <w:rsid w:val="00A155B6"/>
    <w:rsid w:val="00A15DFB"/>
    <w:rsid w:val="00A16522"/>
    <w:rsid w:val="00A22FCF"/>
    <w:rsid w:val="00A27D30"/>
    <w:rsid w:val="00A306FB"/>
    <w:rsid w:val="00A36807"/>
    <w:rsid w:val="00A36BE0"/>
    <w:rsid w:val="00A509B3"/>
    <w:rsid w:val="00A529AB"/>
    <w:rsid w:val="00A52BE2"/>
    <w:rsid w:val="00A5449C"/>
    <w:rsid w:val="00A5737A"/>
    <w:rsid w:val="00A64045"/>
    <w:rsid w:val="00A65C7E"/>
    <w:rsid w:val="00A720F1"/>
    <w:rsid w:val="00A74B1E"/>
    <w:rsid w:val="00A75D7C"/>
    <w:rsid w:val="00A77985"/>
    <w:rsid w:val="00A80377"/>
    <w:rsid w:val="00A83041"/>
    <w:rsid w:val="00A83407"/>
    <w:rsid w:val="00A84202"/>
    <w:rsid w:val="00A84253"/>
    <w:rsid w:val="00A905E8"/>
    <w:rsid w:val="00A94A7E"/>
    <w:rsid w:val="00A9590D"/>
    <w:rsid w:val="00A95CC2"/>
    <w:rsid w:val="00A974E4"/>
    <w:rsid w:val="00AA298F"/>
    <w:rsid w:val="00AA5113"/>
    <w:rsid w:val="00AB3360"/>
    <w:rsid w:val="00AB48CB"/>
    <w:rsid w:val="00AC0181"/>
    <w:rsid w:val="00AC058C"/>
    <w:rsid w:val="00AC45E9"/>
    <w:rsid w:val="00AC6351"/>
    <w:rsid w:val="00AC6494"/>
    <w:rsid w:val="00AC7DEA"/>
    <w:rsid w:val="00AD361F"/>
    <w:rsid w:val="00AD4DF5"/>
    <w:rsid w:val="00AD6191"/>
    <w:rsid w:val="00AE4042"/>
    <w:rsid w:val="00AE5759"/>
    <w:rsid w:val="00AF3602"/>
    <w:rsid w:val="00B01D20"/>
    <w:rsid w:val="00B02C37"/>
    <w:rsid w:val="00B02FBC"/>
    <w:rsid w:val="00B0312D"/>
    <w:rsid w:val="00B05586"/>
    <w:rsid w:val="00B05851"/>
    <w:rsid w:val="00B05E5A"/>
    <w:rsid w:val="00B108AD"/>
    <w:rsid w:val="00B12B80"/>
    <w:rsid w:val="00B15C6D"/>
    <w:rsid w:val="00B20503"/>
    <w:rsid w:val="00B21F02"/>
    <w:rsid w:val="00B33B97"/>
    <w:rsid w:val="00B37EA4"/>
    <w:rsid w:val="00B40B1E"/>
    <w:rsid w:val="00B42FBC"/>
    <w:rsid w:val="00B54A4A"/>
    <w:rsid w:val="00B54FE0"/>
    <w:rsid w:val="00B5745D"/>
    <w:rsid w:val="00B60EDE"/>
    <w:rsid w:val="00B61DF6"/>
    <w:rsid w:val="00B627DC"/>
    <w:rsid w:val="00B70A01"/>
    <w:rsid w:val="00B735E9"/>
    <w:rsid w:val="00B82C5E"/>
    <w:rsid w:val="00B83568"/>
    <w:rsid w:val="00B86DF4"/>
    <w:rsid w:val="00B9151E"/>
    <w:rsid w:val="00B92441"/>
    <w:rsid w:val="00B932E9"/>
    <w:rsid w:val="00B95EBB"/>
    <w:rsid w:val="00B97F9E"/>
    <w:rsid w:val="00BA0DA1"/>
    <w:rsid w:val="00BA25E1"/>
    <w:rsid w:val="00BB031C"/>
    <w:rsid w:val="00BB0887"/>
    <w:rsid w:val="00BB435D"/>
    <w:rsid w:val="00BC24B3"/>
    <w:rsid w:val="00BC30B7"/>
    <w:rsid w:val="00BC6C67"/>
    <w:rsid w:val="00BC6F68"/>
    <w:rsid w:val="00BD19C2"/>
    <w:rsid w:val="00BD3E71"/>
    <w:rsid w:val="00BE00E3"/>
    <w:rsid w:val="00BE05A5"/>
    <w:rsid w:val="00BE184B"/>
    <w:rsid w:val="00BE21B4"/>
    <w:rsid w:val="00BE353E"/>
    <w:rsid w:val="00BE645C"/>
    <w:rsid w:val="00BF6721"/>
    <w:rsid w:val="00C04CB8"/>
    <w:rsid w:val="00C10876"/>
    <w:rsid w:val="00C14047"/>
    <w:rsid w:val="00C20BDB"/>
    <w:rsid w:val="00C242B8"/>
    <w:rsid w:val="00C258B4"/>
    <w:rsid w:val="00C35AB6"/>
    <w:rsid w:val="00C372D6"/>
    <w:rsid w:val="00C37D9C"/>
    <w:rsid w:val="00C40E81"/>
    <w:rsid w:val="00C426E6"/>
    <w:rsid w:val="00C50214"/>
    <w:rsid w:val="00C5257F"/>
    <w:rsid w:val="00C53CA3"/>
    <w:rsid w:val="00C56E47"/>
    <w:rsid w:val="00C611BF"/>
    <w:rsid w:val="00C613AD"/>
    <w:rsid w:val="00C63857"/>
    <w:rsid w:val="00C7005D"/>
    <w:rsid w:val="00C70655"/>
    <w:rsid w:val="00C707F0"/>
    <w:rsid w:val="00C77332"/>
    <w:rsid w:val="00C8054B"/>
    <w:rsid w:val="00C86BF4"/>
    <w:rsid w:val="00C87C87"/>
    <w:rsid w:val="00C918E2"/>
    <w:rsid w:val="00C9248C"/>
    <w:rsid w:val="00C944B2"/>
    <w:rsid w:val="00C95818"/>
    <w:rsid w:val="00C95E31"/>
    <w:rsid w:val="00CA2190"/>
    <w:rsid w:val="00CA4288"/>
    <w:rsid w:val="00CA516E"/>
    <w:rsid w:val="00CA7A49"/>
    <w:rsid w:val="00CB1D11"/>
    <w:rsid w:val="00CB1ED6"/>
    <w:rsid w:val="00CB3B65"/>
    <w:rsid w:val="00CC4367"/>
    <w:rsid w:val="00CC4C4D"/>
    <w:rsid w:val="00CC70CF"/>
    <w:rsid w:val="00CD2BBF"/>
    <w:rsid w:val="00CD6099"/>
    <w:rsid w:val="00CE4CC6"/>
    <w:rsid w:val="00CE62B5"/>
    <w:rsid w:val="00CE7A80"/>
    <w:rsid w:val="00CF4441"/>
    <w:rsid w:val="00CF71B5"/>
    <w:rsid w:val="00D025FC"/>
    <w:rsid w:val="00D06A0B"/>
    <w:rsid w:val="00D11041"/>
    <w:rsid w:val="00D21661"/>
    <w:rsid w:val="00D255A7"/>
    <w:rsid w:val="00D2604D"/>
    <w:rsid w:val="00D26CB9"/>
    <w:rsid w:val="00D30C5C"/>
    <w:rsid w:val="00D30E93"/>
    <w:rsid w:val="00D33A86"/>
    <w:rsid w:val="00D34E14"/>
    <w:rsid w:val="00D3742A"/>
    <w:rsid w:val="00D37C4E"/>
    <w:rsid w:val="00D42224"/>
    <w:rsid w:val="00D427F8"/>
    <w:rsid w:val="00D4421D"/>
    <w:rsid w:val="00D44565"/>
    <w:rsid w:val="00D46C7E"/>
    <w:rsid w:val="00D471F8"/>
    <w:rsid w:val="00D51E03"/>
    <w:rsid w:val="00D53013"/>
    <w:rsid w:val="00D5344F"/>
    <w:rsid w:val="00D55CCD"/>
    <w:rsid w:val="00D5667A"/>
    <w:rsid w:val="00D636A1"/>
    <w:rsid w:val="00D64653"/>
    <w:rsid w:val="00D85319"/>
    <w:rsid w:val="00D90854"/>
    <w:rsid w:val="00D95079"/>
    <w:rsid w:val="00DA0BA5"/>
    <w:rsid w:val="00DA1BE1"/>
    <w:rsid w:val="00DA74FB"/>
    <w:rsid w:val="00DB135B"/>
    <w:rsid w:val="00DB3A29"/>
    <w:rsid w:val="00DB6D09"/>
    <w:rsid w:val="00DC1683"/>
    <w:rsid w:val="00DC752C"/>
    <w:rsid w:val="00DC7791"/>
    <w:rsid w:val="00DD36D6"/>
    <w:rsid w:val="00DD3D80"/>
    <w:rsid w:val="00DD77C8"/>
    <w:rsid w:val="00DD7EAA"/>
    <w:rsid w:val="00DE13E4"/>
    <w:rsid w:val="00DE5C57"/>
    <w:rsid w:val="00DE5C7D"/>
    <w:rsid w:val="00DE62D1"/>
    <w:rsid w:val="00DE6425"/>
    <w:rsid w:val="00DE67F7"/>
    <w:rsid w:val="00DF168A"/>
    <w:rsid w:val="00E00C31"/>
    <w:rsid w:val="00E03480"/>
    <w:rsid w:val="00E05353"/>
    <w:rsid w:val="00E05D47"/>
    <w:rsid w:val="00E06E46"/>
    <w:rsid w:val="00E10EAD"/>
    <w:rsid w:val="00E11229"/>
    <w:rsid w:val="00E13DDC"/>
    <w:rsid w:val="00E17439"/>
    <w:rsid w:val="00E23244"/>
    <w:rsid w:val="00E25AEF"/>
    <w:rsid w:val="00E27E50"/>
    <w:rsid w:val="00E30175"/>
    <w:rsid w:val="00E3387D"/>
    <w:rsid w:val="00E3556F"/>
    <w:rsid w:val="00E4082A"/>
    <w:rsid w:val="00E4107D"/>
    <w:rsid w:val="00E50B28"/>
    <w:rsid w:val="00E51C7C"/>
    <w:rsid w:val="00E66FED"/>
    <w:rsid w:val="00E72F30"/>
    <w:rsid w:val="00E761FF"/>
    <w:rsid w:val="00E87859"/>
    <w:rsid w:val="00E90E6B"/>
    <w:rsid w:val="00E93EBC"/>
    <w:rsid w:val="00E960C5"/>
    <w:rsid w:val="00EA2F6F"/>
    <w:rsid w:val="00EB1055"/>
    <w:rsid w:val="00EB1651"/>
    <w:rsid w:val="00EB283E"/>
    <w:rsid w:val="00EB5508"/>
    <w:rsid w:val="00EC0CB0"/>
    <w:rsid w:val="00EC1980"/>
    <w:rsid w:val="00EC48A6"/>
    <w:rsid w:val="00EC4EA9"/>
    <w:rsid w:val="00EC5C16"/>
    <w:rsid w:val="00ED046B"/>
    <w:rsid w:val="00ED5136"/>
    <w:rsid w:val="00EE380E"/>
    <w:rsid w:val="00EE7790"/>
    <w:rsid w:val="00EF01F7"/>
    <w:rsid w:val="00EF22BD"/>
    <w:rsid w:val="00EF3F48"/>
    <w:rsid w:val="00EF68F1"/>
    <w:rsid w:val="00EF6F75"/>
    <w:rsid w:val="00F004B2"/>
    <w:rsid w:val="00F03EF7"/>
    <w:rsid w:val="00F063AD"/>
    <w:rsid w:val="00F07B9A"/>
    <w:rsid w:val="00F1052A"/>
    <w:rsid w:val="00F120EB"/>
    <w:rsid w:val="00F145F4"/>
    <w:rsid w:val="00F164B4"/>
    <w:rsid w:val="00F203CD"/>
    <w:rsid w:val="00F217D9"/>
    <w:rsid w:val="00F26149"/>
    <w:rsid w:val="00F345C6"/>
    <w:rsid w:val="00F36511"/>
    <w:rsid w:val="00F45BFC"/>
    <w:rsid w:val="00F507C7"/>
    <w:rsid w:val="00F522F2"/>
    <w:rsid w:val="00F542C3"/>
    <w:rsid w:val="00F559F9"/>
    <w:rsid w:val="00F55E22"/>
    <w:rsid w:val="00F61A62"/>
    <w:rsid w:val="00F65C0C"/>
    <w:rsid w:val="00F66CF4"/>
    <w:rsid w:val="00F67A78"/>
    <w:rsid w:val="00F76C4A"/>
    <w:rsid w:val="00F82005"/>
    <w:rsid w:val="00F868CF"/>
    <w:rsid w:val="00F941C2"/>
    <w:rsid w:val="00F9798C"/>
    <w:rsid w:val="00FA146E"/>
    <w:rsid w:val="00FA1DC7"/>
    <w:rsid w:val="00FA5CE4"/>
    <w:rsid w:val="00FB0341"/>
    <w:rsid w:val="00FC28B4"/>
    <w:rsid w:val="00FC60D9"/>
    <w:rsid w:val="00FD08CE"/>
    <w:rsid w:val="00FD3255"/>
    <w:rsid w:val="00FD4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0883FA"/>
  <w15:chartTrackingRefBased/>
  <w15:docId w15:val="{1233ABBC-7E00-4779-ADF7-0FF84E52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F1"/>
    <w:pPr>
      <w:spacing w:after="200" w:line="276" w:lineRule="auto"/>
    </w:pPr>
    <w:rPr>
      <w:rFonts w:eastAsiaTheme="minorEastAsia"/>
      <w:lang w:eastAsia="es-MX"/>
    </w:rPr>
  </w:style>
  <w:style w:type="paragraph" w:styleId="Ttulo1">
    <w:name w:val="heading 1"/>
    <w:basedOn w:val="Normal"/>
    <w:next w:val="Normal"/>
    <w:link w:val="Ttulo1Car"/>
    <w:rsid w:val="009A54F1"/>
    <w:pPr>
      <w:keepNext/>
      <w:keepLines/>
      <w:spacing w:before="400" w:after="120"/>
      <w:outlineLvl w:val="0"/>
    </w:pPr>
    <w:rPr>
      <w:rFonts w:ascii="Arial" w:eastAsia="Arial" w:hAnsi="Arial" w:cs="Arial"/>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4F1"/>
    <w:rPr>
      <w:rFonts w:ascii="Arial" w:eastAsia="Arial" w:hAnsi="Arial" w:cs="Arial"/>
      <w:sz w:val="40"/>
      <w:szCs w:val="40"/>
      <w:lang w:eastAsia="es-MX"/>
    </w:rPr>
  </w:style>
  <w:style w:type="paragraph" w:styleId="Encabezado">
    <w:name w:val="header"/>
    <w:basedOn w:val="Normal"/>
    <w:link w:val="EncabezadoCar"/>
    <w:uiPriority w:val="99"/>
    <w:unhideWhenUsed/>
    <w:rsid w:val="009A5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4F1"/>
    <w:rPr>
      <w:rFonts w:eastAsiaTheme="minorEastAsia"/>
      <w:lang w:eastAsia="es-MX"/>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9A54F1"/>
    <w:pPr>
      <w:ind w:left="720"/>
      <w:contextualSpacing/>
    </w:pPr>
  </w:style>
  <w:style w:type="paragraph" w:styleId="NormalWeb">
    <w:name w:val="Normal (Web)"/>
    <w:aliases w:val="Normal (Web) Car1,Normal (Web) Car Car,Normal (Web) Car1 Car Car,Normal (Web) Car Car Car Car, Car Car Car Car, Car Car Car, Car Car,Normal (Web) Car Car Car Car Car Car,Normal (Web) Car Car Car Car Car Car Car Car Car Car,Car,Car Car Car C"/>
    <w:basedOn w:val="Normal"/>
    <w:link w:val="NormalWebCar"/>
    <w:uiPriority w:val="99"/>
    <w:unhideWhenUsed/>
    <w:qFormat/>
    <w:rsid w:val="009A54F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9A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9A54F1"/>
    <w:rPr>
      <w:b/>
      <w:bCs/>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9A54F1"/>
    <w:rPr>
      <w:rFonts w:eastAsiaTheme="minorEastAsia"/>
      <w:sz w:val="20"/>
      <w:szCs w:val="20"/>
      <w:lang w:eastAsia="es-MX"/>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9A54F1"/>
    <w:pPr>
      <w:spacing w:after="0" w:line="240" w:lineRule="auto"/>
    </w:pPr>
    <w:rPr>
      <w:sz w:val="20"/>
      <w:szCs w:val="20"/>
    </w:rPr>
  </w:style>
  <w:style w:type="character" w:customStyle="1" w:styleId="TextonotapieCar1">
    <w:name w:val="Texto nota pie Car1"/>
    <w:basedOn w:val="Fuentedeprrafopredeter"/>
    <w:uiPriority w:val="99"/>
    <w:semiHidden/>
    <w:rsid w:val="009A54F1"/>
    <w:rPr>
      <w:rFonts w:eastAsiaTheme="minorEastAsia"/>
      <w:sz w:val="20"/>
      <w:szCs w:val="20"/>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9A54F1"/>
    <w:rPr>
      <w:rFonts w:eastAsiaTheme="minorEastAsia"/>
      <w:lang w:eastAsia="es-MX"/>
    </w:rPr>
  </w:style>
  <w:style w:type="character" w:customStyle="1" w:styleId="NormalWebCar">
    <w:name w:val="Normal (Web) Car"/>
    <w:aliases w:val="Normal (Web) Car1 Car,Normal (Web) Car Car Car,Normal (Web) Car1 Car Car Car,Normal (Web) Car Car Car Car Car, Car Car Car Car Car, Car Car Car Car1, Car Car Car1,Normal (Web) Car Car Car Car Car Car Car,Car Car,Car Car Car C Car"/>
    <w:basedOn w:val="Fuentedeprrafopredeter"/>
    <w:link w:val="NormalWeb"/>
    <w:uiPriority w:val="99"/>
    <w:rsid w:val="009A54F1"/>
    <w:rPr>
      <w:rFonts w:ascii="Times New Roman" w:eastAsia="Times New Roman" w:hAnsi="Times New Roman" w:cs="Times New Roman"/>
      <w:sz w:val="24"/>
      <w:szCs w:val="24"/>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basedOn w:val="Fuentedeprrafopredeter"/>
    <w:link w:val="4GChar"/>
    <w:uiPriority w:val="99"/>
    <w:unhideWhenUsed/>
    <w:qFormat/>
    <w:rsid w:val="009A54F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A54F1"/>
    <w:pPr>
      <w:spacing w:after="0" w:line="240" w:lineRule="auto"/>
      <w:jc w:val="both"/>
    </w:pPr>
    <w:rPr>
      <w:rFonts w:eastAsiaTheme="minorHAnsi"/>
      <w:vertAlign w:val="superscript"/>
      <w:lang w:eastAsia="en-US"/>
    </w:rPr>
  </w:style>
  <w:style w:type="character" w:styleId="Hipervnculo">
    <w:name w:val="Hyperlink"/>
    <w:basedOn w:val="Fuentedeprrafopredeter"/>
    <w:uiPriority w:val="99"/>
    <w:unhideWhenUsed/>
    <w:rsid w:val="009A54F1"/>
    <w:rPr>
      <w:color w:val="0000FF"/>
      <w:u w:val="single"/>
    </w:rPr>
  </w:style>
  <w:style w:type="paragraph" w:customStyle="1" w:styleId="Estilo">
    <w:name w:val="Estilo"/>
    <w:basedOn w:val="Sinespaciado"/>
    <w:link w:val="EstiloCar"/>
    <w:qFormat/>
    <w:rsid w:val="009A54F1"/>
    <w:pPr>
      <w:jc w:val="both"/>
    </w:pPr>
    <w:rPr>
      <w:rFonts w:ascii="Arial" w:eastAsiaTheme="minorHAnsi" w:hAnsi="Arial"/>
      <w:sz w:val="24"/>
      <w:lang w:eastAsia="en-US"/>
    </w:rPr>
  </w:style>
  <w:style w:type="character" w:customStyle="1" w:styleId="EstiloCar">
    <w:name w:val="Estilo Car"/>
    <w:basedOn w:val="Fuentedeprrafopredeter"/>
    <w:link w:val="Estilo"/>
    <w:rsid w:val="009A54F1"/>
    <w:rPr>
      <w:rFonts w:ascii="Arial" w:hAnsi="Arial"/>
      <w:sz w:val="24"/>
    </w:rPr>
  </w:style>
  <w:style w:type="paragraph" w:styleId="Sinespaciado">
    <w:name w:val="No Spacing"/>
    <w:link w:val="SinespaciadoCar"/>
    <w:uiPriority w:val="1"/>
    <w:qFormat/>
    <w:rsid w:val="009A54F1"/>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9A54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4F1"/>
    <w:rPr>
      <w:rFonts w:ascii="Segoe UI" w:eastAsiaTheme="minorEastAsia" w:hAnsi="Segoe UI" w:cs="Segoe UI"/>
      <w:sz w:val="18"/>
      <w:szCs w:val="18"/>
      <w:lang w:eastAsia="es-MX"/>
    </w:rPr>
  </w:style>
  <w:style w:type="character" w:customStyle="1" w:styleId="Mencinsinresolver1">
    <w:name w:val="Mención sin resolver1"/>
    <w:basedOn w:val="Fuentedeprrafopredeter"/>
    <w:uiPriority w:val="99"/>
    <w:semiHidden/>
    <w:unhideWhenUsed/>
    <w:rsid w:val="009A54F1"/>
    <w:rPr>
      <w:color w:val="605E5C"/>
      <w:shd w:val="clear" w:color="auto" w:fill="E1DFDD"/>
    </w:rPr>
  </w:style>
  <w:style w:type="character" w:styleId="Hipervnculovisitado">
    <w:name w:val="FollowedHyperlink"/>
    <w:basedOn w:val="Fuentedeprrafopredeter"/>
    <w:uiPriority w:val="99"/>
    <w:semiHidden/>
    <w:unhideWhenUsed/>
    <w:rsid w:val="009A54F1"/>
    <w:rPr>
      <w:color w:val="954F72" w:themeColor="followedHyperlink"/>
      <w:u w:val="single"/>
    </w:rPr>
  </w:style>
  <w:style w:type="paragraph" w:customStyle="1" w:styleId="Default">
    <w:name w:val="Default"/>
    <w:rsid w:val="009A54F1"/>
    <w:pPr>
      <w:autoSpaceDE w:val="0"/>
      <w:autoSpaceDN w:val="0"/>
      <w:adjustRightInd w:val="0"/>
      <w:spacing w:after="0" w:line="240" w:lineRule="auto"/>
    </w:pPr>
    <w:rPr>
      <w:rFonts w:ascii="Calibri" w:hAnsi="Calibri" w:cs="Calibri"/>
      <w:color w:val="000000"/>
      <w:sz w:val="24"/>
      <w:szCs w:val="24"/>
    </w:rPr>
  </w:style>
  <w:style w:type="character" w:customStyle="1" w:styleId="Mencinsinresolver2">
    <w:name w:val="Mención sin resolver2"/>
    <w:basedOn w:val="Fuentedeprrafopredeter"/>
    <w:uiPriority w:val="99"/>
    <w:semiHidden/>
    <w:unhideWhenUsed/>
    <w:rsid w:val="009A54F1"/>
    <w:rPr>
      <w:color w:val="605E5C"/>
      <w:shd w:val="clear" w:color="auto" w:fill="E1DFDD"/>
    </w:rPr>
  </w:style>
  <w:style w:type="character" w:customStyle="1" w:styleId="Mencinsinresolver3">
    <w:name w:val="Mención sin resolver3"/>
    <w:basedOn w:val="Fuentedeprrafopredeter"/>
    <w:uiPriority w:val="99"/>
    <w:semiHidden/>
    <w:unhideWhenUsed/>
    <w:rsid w:val="009A54F1"/>
    <w:rPr>
      <w:color w:val="605E5C"/>
      <w:shd w:val="clear" w:color="auto" w:fill="E1DFDD"/>
    </w:rPr>
  </w:style>
  <w:style w:type="paragraph" w:customStyle="1" w:styleId="Poromisin">
    <w:name w:val="Por omisión"/>
    <w:rsid w:val="009A54F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MX"/>
    </w:rPr>
  </w:style>
  <w:style w:type="character" w:customStyle="1" w:styleId="Mencinsinresolver4">
    <w:name w:val="Mención sin resolver4"/>
    <w:basedOn w:val="Fuentedeprrafopredeter"/>
    <w:uiPriority w:val="99"/>
    <w:semiHidden/>
    <w:unhideWhenUsed/>
    <w:rsid w:val="009A54F1"/>
    <w:rPr>
      <w:color w:val="605E5C"/>
      <w:shd w:val="clear" w:color="auto" w:fill="E1DFDD"/>
    </w:rPr>
  </w:style>
  <w:style w:type="character" w:customStyle="1" w:styleId="Mencinsinresolver5">
    <w:name w:val="Mención sin resolver5"/>
    <w:basedOn w:val="Fuentedeprrafopredeter"/>
    <w:uiPriority w:val="99"/>
    <w:semiHidden/>
    <w:unhideWhenUsed/>
    <w:rsid w:val="009A54F1"/>
    <w:rPr>
      <w:color w:val="605E5C"/>
      <w:shd w:val="clear" w:color="auto" w:fill="E1DFDD"/>
    </w:rPr>
  </w:style>
  <w:style w:type="paragraph" w:customStyle="1" w:styleId="yiv7156991051msonormal">
    <w:name w:val="yiv7156991051msonormal"/>
    <w:basedOn w:val="Normal"/>
    <w:rsid w:val="009A54F1"/>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A5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4F1"/>
    <w:rPr>
      <w:rFonts w:eastAsiaTheme="minorEastAsia"/>
      <w:lang w:eastAsia="es-MX"/>
    </w:rPr>
  </w:style>
  <w:style w:type="table" w:styleId="Tablaconcuadrcula7concolores">
    <w:name w:val="Grid Table 7 Colorful"/>
    <w:basedOn w:val="Tablanormal"/>
    <w:uiPriority w:val="52"/>
    <w:rsid w:val="001703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encinsinresolver">
    <w:name w:val="Unresolved Mention"/>
    <w:basedOn w:val="Fuentedeprrafopredeter"/>
    <w:uiPriority w:val="99"/>
    <w:semiHidden/>
    <w:unhideWhenUsed/>
    <w:rsid w:val="00CB1D11"/>
    <w:rPr>
      <w:color w:val="605E5C"/>
      <w:shd w:val="clear" w:color="auto" w:fill="E1DFDD"/>
    </w:rPr>
  </w:style>
  <w:style w:type="character" w:customStyle="1" w:styleId="bold">
    <w:name w:val="bold"/>
    <w:basedOn w:val="Fuentedeprrafopredeter"/>
    <w:rsid w:val="00480CFC"/>
  </w:style>
  <w:style w:type="character" w:customStyle="1" w:styleId="SinespaciadoCar">
    <w:name w:val="Sin espaciado Car"/>
    <w:link w:val="Sinespaciado"/>
    <w:uiPriority w:val="1"/>
    <w:rsid w:val="00920EBD"/>
    <w:rPr>
      <w:rFonts w:eastAsiaTheme="minorEastAsia"/>
      <w:lang w:eastAsia="es-MX"/>
    </w:rPr>
  </w:style>
  <w:style w:type="table" w:styleId="Tablaconcuadrcula1clara">
    <w:name w:val="Grid Table 1 Light"/>
    <w:basedOn w:val="Tablanormal"/>
    <w:uiPriority w:val="46"/>
    <w:rsid w:val="001267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50B2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IUSEapp/tesisjur.aspx?idtesis=4/2000&amp;tpoBusqueda=S&amp;sWord=AGRAVIOS,,SU,EXAMEN,EN,CONJUNTO,O,SEPARADO,,NO,CAUSA,LESI%c3%93N" TargetMode="External"/><Relationship Id="rId2" Type="http://schemas.openxmlformats.org/officeDocument/2006/relationships/hyperlink" Target="https://sjf.scjn.gob.mx/sjfsist/Paginas/DetalleGeneralV2.aspx?Clase=DetalleTesisBL&amp;ID=164618&amp;Semanario=0" TargetMode="External"/><Relationship Id="rId1" Type="http://schemas.openxmlformats.org/officeDocument/2006/relationships/hyperlink" Target="https://mexico.justia.com/federales/jurisprudencias-tesis/tribunal-electoral/jurisprudencia-2-2004/" TargetMode="External"/><Relationship Id="rId4" Type="http://schemas.openxmlformats.org/officeDocument/2006/relationships/hyperlink" Target="https://sjf2.scjn.gob.mx/detalle/tesis/1623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4C67-878F-440E-8A57-A369DBFC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5241</Words>
  <Characters>28826</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1</dc:creator>
  <cp:keywords/>
  <dc:description/>
  <cp:lastModifiedBy>Secretario Gral</cp:lastModifiedBy>
  <cp:revision>2</cp:revision>
  <cp:lastPrinted>2021-04-23T19:52:00Z</cp:lastPrinted>
  <dcterms:created xsi:type="dcterms:W3CDTF">2021-04-23T19:57:00Z</dcterms:created>
  <dcterms:modified xsi:type="dcterms:W3CDTF">2021-04-23T19:57:00Z</dcterms:modified>
</cp:coreProperties>
</file>